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DBBB" w14:textId="77777777" w:rsidR="007524DA" w:rsidRPr="007524DA" w:rsidRDefault="007524DA" w:rsidP="007524DA">
      <w:pPr>
        <w:pStyle w:val="Default"/>
        <w:rPr>
          <w:rFonts w:ascii="Arial" w:hAnsi="Arial" w:cs="Arial"/>
          <w:color w:val="4F6228" w:themeColor="accent3" w:themeShade="80"/>
        </w:rPr>
      </w:pPr>
      <w:bookmarkStart w:id="0" w:name="_GoBack"/>
      <w:bookmarkEnd w:id="0"/>
      <w:r w:rsidRPr="007524DA">
        <w:rPr>
          <w:rFonts w:ascii="Arial" w:hAnsi="Arial" w:cs="Arial"/>
          <w:b/>
          <w:bCs/>
          <w:color w:val="4F6228" w:themeColor="accent3" w:themeShade="80"/>
        </w:rPr>
        <w:t xml:space="preserve">3.1 Analisi del contesto </w:t>
      </w:r>
    </w:p>
    <w:p w14:paraId="70187F08" w14:textId="77777777" w:rsidR="007524DA" w:rsidRDefault="007524DA" w:rsidP="007524DA">
      <w:pPr>
        <w:pStyle w:val="Default"/>
        <w:rPr>
          <w:rFonts w:ascii="Arial" w:hAnsi="Arial" w:cs="Arial"/>
        </w:rPr>
      </w:pPr>
    </w:p>
    <w:p w14:paraId="76CE3789" w14:textId="77777777" w:rsidR="007524DA" w:rsidRPr="00A4190A" w:rsidRDefault="007524DA" w:rsidP="007524DA">
      <w:pPr>
        <w:pStyle w:val="Default"/>
        <w:spacing w:line="276" w:lineRule="auto"/>
        <w:jc w:val="both"/>
      </w:pPr>
      <w:r w:rsidRPr="00A4190A">
        <w:rPr>
          <w:rFonts w:ascii="Arial" w:hAnsi="Arial" w:cs="Arial"/>
        </w:rPr>
        <w:t xml:space="preserve">Per far comprendere a quali tipi di eventi corruttivi l'Amministrazione regionale sia maggiormente esposta, è necessario riportare una serie di informazioni sulle caratteristiche del contesto ambientale (dinamiche economiche, sociali, criminologiche e culturali del territorio) e della sua organizzazione interna. </w:t>
      </w:r>
    </w:p>
    <w:p w14:paraId="603576AF" w14:textId="77777777" w:rsidR="007524DA" w:rsidRDefault="007524DA" w:rsidP="007524DA">
      <w:pPr>
        <w:pStyle w:val="Default"/>
        <w:spacing w:line="276" w:lineRule="auto"/>
        <w:jc w:val="both"/>
        <w:rPr>
          <w:rFonts w:ascii="Arial" w:hAnsi="Arial" w:cs="Arial"/>
        </w:rPr>
      </w:pPr>
      <w:r w:rsidRPr="00A4190A">
        <w:rPr>
          <w:rFonts w:ascii="Arial" w:hAnsi="Arial" w:cs="Arial"/>
        </w:rPr>
        <w:t>Nei paragrafi che seguono sono riportati alcuni dati informativi che si ritengono a tal fine significativi.</w:t>
      </w:r>
    </w:p>
    <w:p w14:paraId="5138412E" w14:textId="3175F30D" w:rsidR="007524DA" w:rsidRDefault="007524DA" w:rsidP="00DB18B0">
      <w:pPr>
        <w:pStyle w:val="Default"/>
        <w:spacing w:line="276" w:lineRule="auto"/>
        <w:jc w:val="both"/>
        <w:rPr>
          <w:rFonts w:ascii="Arial" w:hAnsi="Arial" w:cs="Arial"/>
        </w:rPr>
      </w:pPr>
      <w:r>
        <w:rPr>
          <w:rFonts w:ascii="Arial" w:hAnsi="Arial" w:cs="Arial"/>
        </w:rPr>
        <w:t>Si evidenzia che il capitolo 3.2, “</w:t>
      </w:r>
      <w:r w:rsidRPr="005862EE">
        <w:rPr>
          <w:rFonts w:ascii="Arial" w:hAnsi="Arial" w:cs="Arial"/>
          <w:i/>
        </w:rPr>
        <w:t>Analisi del contesto esterno</w:t>
      </w:r>
      <w:r>
        <w:rPr>
          <w:rFonts w:ascii="Arial" w:hAnsi="Arial" w:cs="Arial"/>
        </w:rPr>
        <w:t>”, costituisce il prodotto di un</w:t>
      </w:r>
      <w:r w:rsidR="00DB18B0">
        <w:rPr>
          <w:rFonts w:ascii="Arial" w:hAnsi="Arial" w:cs="Arial"/>
        </w:rPr>
        <w:t xml:space="preserve">a collaborazione </w:t>
      </w:r>
      <w:r>
        <w:rPr>
          <w:rFonts w:ascii="Arial" w:hAnsi="Arial" w:cs="Arial"/>
        </w:rPr>
        <w:t xml:space="preserve">interistituzionale, nell’ambito della “Rete per l’Integrità e la Trasparenza”, per condividere, tra tutti i “Responsabili della prevenzione della corruzione e Trasparenza” degli enti aderenti,  documenti e criteri di riferimento per la descrizione del contesto, socio-economico e criminologico, del territorio regionale emiliano-romagnolo, in fase di aggiornamento dei Piani triennali di prevenzione della corruzione </w:t>
      </w:r>
      <w:r w:rsidR="00DB18B0">
        <w:rPr>
          <w:rFonts w:ascii="Arial" w:hAnsi="Arial" w:cs="Arial"/>
        </w:rPr>
        <w:t xml:space="preserve">e della Trasparenza </w:t>
      </w:r>
      <w:r>
        <w:rPr>
          <w:rFonts w:ascii="Arial" w:hAnsi="Arial" w:cs="Arial"/>
        </w:rPr>
        <w:t>delle amministrazioni</w:t>
      </w:r>
      <w:r w:rsidR="00DB18B0">
        <w:rPr>
          <w:rFonts w:ascii="Arial" w:hAnsi="Arial" w:cs="Arial"/>
        </w:rPr>
        <w:t xml:space="preserve">. </w:t>
      </w:r>
    </w:p>
    <w:p w14:paraId="4B8078F8" w14:textId="77777777" w:rsidR="00DB18B0" w:rsidRDefault="00DB18B0" w:rsidP="00DB18B0">
      <w:pPr>
        <w:pStyle w:val="Default"/>
        <w:spacing w:line="276" w:lineRule="auto"/>
        <w:jc w:val="both"/>
        <w:rPr>
          <w:rFonts w:ascii="Arial" w:hAnsi="Arial" w:cs="Arial"/>
          <w:b/>
          <w:bCs/>
          <w:color w:val="C2250C"/>
        </w:rPr>
      </w:pPr>
    </w:p>
    <w:p w14:paraId="76295B3F" w14:textId="77777777" w:rsidR="007524DA" w:rsidRPr="006700C6" w:rsidRDefault="007524DA" w:rsidP="007524DA">
      <w:pPr>
        <w:pStyle w:val="Default"/>
        <w:rPr>
          <w:rFonts w:ascii="Arial" w:hAnsi="Arial" w:cs="Arial"/>
          <w:color w:val="4F6228" w:themeColor="accent3" w:themeShade="80"/>
        </w:rPr>
      </w:pPr>
      <w:r w:rsidRPr="006700C6">
        <w:rPr>
          <w:rFonts w:ascii="Arial" w:hAnsi="Arial" w:cs="Arial"/>
          <w:b/>
          <w:bCs/>
          <w:color w:val="4F6228" w:themeColor="accent3" w:themeShade="80"/>
        </w:rPr>
        <w:t xml:space="preserve">3.2 Analisi del contesto esterno </w:t>
      </w:r>
    </w:p>
    <w:p w14:paraId="2B9E826A" w14:textId="77777777" w:rsidR="007524DA" w:rsidRPr="006700C6" w:rsidRDefault="007524DA" w:rsidP="007524DA">
      <w:pPr>
        <w:pStyle w:val="Default"/>
        <w:rPr>
          <w:rFonts w:ascii="Arial" w:hAnsi="Arial" w:cs="Arial"/>
          <w:b/>
          <w:bCs/>
          <w:color w:val="4F6228" w:themeColor="accent3" w:themeShade="80"/>
        </w:rPr>
      </w:pPr>
    </w:p>
    <w:p w14:paraId="7AFDE02A" w14:textId="77777777" w:rsidR="007524DA" w:rsidRPr="006700C6" w:rsidRDefault="007524DA" w:rsidP="007524DA">
      <w:pPr>
        <w:pStyle w:val="Default"/>
        <w:rPr>
          <w:color w:val="4F6228" w:themeColor="accent3" w:themeShade="80"/>
        </w:rPr>
      </w:pPr>
      <w:r w:rsidRPr="006700C6">
        <w:rPr>
          <w:rFonts w:ascii="Arial" w:hAnsi="Arial" w:cs="Arial"/>
          <w:b/>
          <w:bCs/>
          <w:color w:val="4F6228" w:themeColor="accent3" w:themeShade="80"/>
        </w:rPr>
        <w:t xml:space="preserve">3.2.1 Scenario economico-sociale a livello regionale </w:t>
      </w:r>
    </w:p>
    <w:p w14:paraId="788DAC48" w14:textId="77777777" w:rsidR="007524DA" w:rsidRDefault="007524DA" w:rsidP="007524DA">
      <w:pPr>
        <w:pStyle w:val="Default"/>
        <w:rPr>
          <w:rFonts w:ascii="Arial" w:hAnsi="Arial" w:cs="Arial"/>
          <w:color w:val="FF0000"/>
        </w:rPr>
      </w:pPr>
    </w:p>
    <w:p w14:paraId="11AAD96C" w14:textId="180E28B9" w:rsidR="00334D07" w:rsidRPr="00334D07" w:rsidRDefault="006700C6" w:rsidP="004B2806">
      <w:pPr>
        <w:spacing w:line="276" w:lineRule="auto"/>
        <w:rPr>
          <w:rFonts w:eastAsiaTheme="minorHAnsi" w:cs="Arial"/>
          <w:color w:val="000000"/>
          <w:sz w:val="24"/>
          <w:szCs w:val="24"/>
          <w:lang w:eastAsia="en-US"/>
        </w:rPr>
      </w:pPr>
      <w:r w:rsidRPr="006700C6">
        <w:rPr>
          <w:rFonts w:eastAsiaTheme="minorHAnsi" w:cs="Arial"/>
          <w:color w:val="000000"/>
          <w:sz w:val="24"/>
          <w:szCs w:val="24"/>
          <w:lang w:eastAsia="en-US"/>
        </w:rPr>
        <w:t xml:space="preserve">Il rallentamento dell’economia mondiale e, in particolare, del commercio estero a livello globale, sta penalizzando in misura più sensibile i Paesi a maggior vocazione export, Germania e Italia su tutti. E, all’interno del nostro Paese, sono le regioni più attive sui mercati esteri a essere maggiormente esposte alle incertezze e alle fragilità che caratterizzano lo scenario internazionale. </w:t>
      </w:r>
      <w:r w:rsidRPr="004B2806">
        <w:rPr>
          <w:rFonts w:eastAsiaTheme="minorHAnsi" w:cs="Arial"/>
          <w:b/>
          <w:bCs/>
          <w:color w:val="000000"/>
          <w:sz w:val="24"/>
          <w:szCs w:val="24"/>
          <w:lang w:eastAsia="en-US"/>
        </w:rPr>
        <w:t xml:space="preserve">L’Emilia-Romagna - seconda regione italiana per valore delle esportazioni e tra le prime regioni d’Europa per export per abitante – </w:t>
      </w:r>
      <w:r w:rsidRPr="006700C6">
        <w:rPr>
          <w:rFonts w:eastAsiaTheme="minorHAnsi" w:cs="Arial"/>
          <w:color w:val="000000"/>
          <w:sz w:val="24"/>
          <w:szCs w:val="24"/>
          <w:lang w:eastAsia="en-US"/>
        </w:rPr>
        <w:t>sembra corrispondere all’identikit della regione a forte rischio di “contagio internazionale”. A ciò si aggiunge l’ormai trentennale ritardo con cui viaggia il “treno Italia” rispetto alle altre nazioni, croniche lacune strutturali e un’endemica debolezza della domanda interna contribuiscono a posizionare il nostro Paese agli ultimi posti al mondo per crescita economica.</w:t>
      </w:r>
      <w:r>
        <w:rPr>
          <w:rFonts w:eastAsiaTheme="minorHAnsi" w:cs="Arial"/>
          <w:color w:val="000000"/>
          <w:sz w:val="24"/>
          <w:szCs w:val="24"/>
          <w:lang w:eastAsia="en-US"/>
        </w:rPr>
        <w:t xml:space="preserve"> </w:t>
      </w:r>
      <w:r w:rsidRPr="006700C6">
        <w:rPr>
          <w:rFonts w:eastAsiaTheme="minorHAnsi" w:cs="Arial"/>
          <w:color w:val="000000"/>
          <w:sz w:val="24"/>
          <w:szCs w:val="24"/>
          <w:lang w:eastAsia="en-US"/>
        </w:rPr>
        <w:t>Eppure, nonostante questo scenario sfavorevole, il 2019 per l’economia dell’Emilia-Romagna dovrebbe chiudersi positivamente ed essere archiviato come un altro anno di crescita per l’economia regionale</w:t>
      </w:r>
      <w:r>
        <w:rPr>
          <w:rFonts w:eastAsiaTheme="minorHAnsi" w:cs="Arial"/>
          <w:color w:val="000000"/>
          <w:sz w:val="24"/>
          <w:szCs w:val="24"/>
          <w:lang w:eastAsia="en-US"/>
        </w:rPr>
        <w:t>.</w:t>
      </w:r>
      <w:r w:rsidRPr="006700C6">
        <w:rPr>
          <w:rFonts w:eastAsiaTheme="minorHAnsi" w:cs="Arial"/>
          <w:color w:val="000000"/>
          <w:sz w:val="24"/>
          <w:szCs w:val="24"/>
          <w:lang w:eastAsia="en-US"/>
        </w:rPr>
        <w:t xml:space="preserve"> Crescita a ritmo non sostenuto, con alcuni diffusi segnali di rallentamento, tuttavia sufficiente </w:t>
      </w:r>
      <w:r w:rsidRPr="007550A3">
        <w:rPr>
          <w:rFonts w:eastAsiaTheme="minorHAnsi" w:cs="Arial"/>
          <w:b/>
          <w:bCs/>
          <w:color w:val="000000"/>
          <w:sz w:val="24"/>
          <w:szCs w:val="24"/>
          <w:lang w:eastAsia="en-US"/>
        </w:rPr>
        <w:t>per confermare l’Emilia-Romagna al vertice delle regioni italiane per incremento del PIL nel 2019 e anche per il 2020. Esattamente come era avvenuto nel 2018, ancora locomotiva dell’arrancante “treno Italia”.</w:t>
      </w:r>
      <w:r w:rsidR="00334D07" w:rsidRPr="00334D07">
        <w:t xml:space="preserve"> </w:t>
      </w:r>
      <w:r w:rsidR="00334D07" w:rsidRPr="00334D07">
        <w:rPr>
          <w:rFonts w:eastAsiaTheme="minorHAnsi" w:cs="Arial"/>
          <w:color w:val="000000"/>
          <w:sz w:val="24"/>
          <w:szCs w:val="24"/>
          <w:lang w:eastAsia="en-US"/>
        </w:rPr>
        <w:t xml:space="preserve">Secondo gli “scenari per le economie locali” di Prometeia, aggiornati a ottobre 2019, la crescita del prodotto interno lordo a fine 2019 rispetto all’anno precedente dovrebbe risultare pari allo 0,5 per cento, mentre per il 2020 si prevede un tasso di incremento più consistente (+1,1 per cento). È il settore delle costruzioni a contribuire maggiormente alla crescita del valore aggiunto regionale con una variazione nel 2019 rispetto al 2018 che dovrebbe attestarsi attorno al 3,9 per cento, mentre per industria e servizi si prevede un aumento dello 0,3 per cento. A sostenere il manifatturiero sono, ancora una volta, le esportazioni previste in crescita </w:t>
      </w:r>
      <w:r w:rsidR="00334D07" w:rsidRPr="00334D07">
        <w:rPr>
          <w:rFonts w:eastAsiaTheme="minorHAnsi" w:cs="Arial"/>
          <w:color w:val="000000"/>
          <w:sz w:val="24"/>
          <w:szCs w:val="24"/>
          <w:lang w:eastAsia="en-US"/>
        </w:rPr>
        <w:lastRenderedPageBreak/>
        <w:t>del 5 per cento. Variazione positiva anche per gli investimenti (+2,9 per cento), la domanda interna segnerà a fine anno un +1,1 per cento.</w:t>
      </w:r>
    </w:p>
    <w:p w14:paraId="6263C831" w14:textId="77777777" w:rsidR="00334D07" w:rsidRPr="00334D07" w:rsidRDefault="00334D07" w:rsidP="004B2806">
      <w:pPr>
        <w:spacing w:line="276" w:lineRule="auto"/>
        <w:rPr>
          <w:rFonts w:eastAsiaTheme="minorHAnsi" w:cs="Arial"/>
          <w:b/>
          <w:bCs/>
          <w:color w:val="000000"/>
          <w:sz w:val="24"/>
          <w:szCs w:val="24"/>
          <w:lang w:eastAsia="en-US"/>
        </w:rPr>
      </w:pPr>
      <w:r w:rsidRPr="00334D07">
        <w:rPr>
          <w:rFonts w:eastAsiaTheme="minorHAnsi" w:cs="Arial"/>
          <w:color w:val="000000"/>
          <w:sz w:val="24"/>
          <w:szCs w:val="24"/>
          <w:lang w:eastAsia="en-US"/>
        </w:rPr>
        <w:t>Buone notizie sul fronte occupazionale, si rafforza la dinamica evidenziata negli ultimi anni</w:t>
      </w:r>
      <w:r w:rsidRPr="00334D07">
        <w:rPr>
          <w:rFonts w:eastAsiaTheme="minorHAnsi" w:cs="Arial"/>
          <w:b/>
          <w:bCs/>
          <w:color w:val="000000"/>
          <w:sz w:val="24"/>
          <w:szCs w:val="24"/>
          <w:lang w:eastAsia="en-US"/>
        </w:rPr>
        <w:t>, nel 2019 il numero degli occupati è stimato in aumento di un ulteriore 2 per cento.</w:t>
      </w:r>
      <w:r w:rsidRPr="00334D07">
        <w:rPr>
          <w:rFonts w:eastAsiaTheme="minorHAnsi" w:cs="Arial"/>
          <w:color w:val="000000"/>
          <w:sz w:val="24"/>
          <w:szCs w:val="24"/>
          <w:lang w:eastAsia="en-US"/>
        </w:rPr>
        <w:t xml:space="preserve"> </w:t>
      </w:r>
      <w:r w:rsidRPr="00334D07">
        <w:rPr>
          <w:rFonts w:eastAsiaTheme="minorHAnsi" w:cs="Arial"/>
          <w:b/>
          <w:bCs/>
          <w:color w:val="000000"/>
          <w:sz w:val="24"/>
          <w:szCs w:val="24"/>
          <w:lang w:eastAsia="en-US"/>
        </w:rPr>
        <w:t>Contestualmente il tasso di disoccupazione si ridurrà al 5,2 per cento nel 2019 e al 5,0 per cento nel 2020.</w:t>
      </w:r>
    </w:p>
    <w:p w14:paraId="0CBC9724" w14:textId="77777777" w:rsidR="007524DA" w:rsidRPr="006700C6" w:rsidRDefault="007524DA" w:rsidP="007524DA">
      <w:pPr>
        <w:spacing w:line="276" w:lineRule="auto"/>
        <w:rPr>
          <w:rFonts w:eastAsiaTheme="minorHAnsi" w:cs="Arial"/>
          <w:color w:val="000000"/>
          <w:sz w:val="24"/>
          <w:szCs w:val="24"/>
          <w:lang w:eastAsia="en-US"/>
        </w:rPr>
      </w:pPr>
    </w:p>
    <w:p w14:paraId="39FEEADD" w14:textId="77777777" w:rsidR="007524DA" w:rsidRPr="008734A7" w:rsidRDefault="007524DA" w:rsidP="004B2806">
      <w:pPr>
        <w:spacing w:line="276" w:lineRule="auto"/>
        <w:rPr>
          <w:rFonts w:cs="Arial"/>
          <w:b/>
          <w:i/>
          <w:sz w:val="24"/>
          <w:szCs w:val="24"/>
        </w:rPr>
      </w:pPr>
      <w:r w:rsidRPr="008734A7">
        <w:rPr>
          <w:rFonts w:cs="Arial"/>
          <w:b/>
          <w:i/>
          <w:sz w:val="24"/>
          <w:szCs w:val="24"/>
        </w:rPr>
        <w:t>a) Il sistema imprenditoriale</w:t>
      </w:r>
    </w:p>
    <w:p w14:paraId="7A56D358" w14:textId="77777777" w:rsidR="00334D07" w:rsidRPr="00334D07" w:rsidRDefault="00334D07" w:rsidP="004B2806">
      <w:pPr>
        <w:spacing w:line="276" w:lineRule="auto"/>
        <w:rPr>
          <w:sz w:val="24"/>
          <w:szCs w:val="24"/>
        </w:rPr>
      </w:pPr>
      <w:r w:rsidRPr="00334D07">
        <w:rPr>
          <w:sz w:val="24"/>
          <w:szCs w:val="24"/>
        </w:rPr>
        <w:t xml:space="preserve">Al </w:t>
      </w:r>
      <w:r w:rsidRPr="00334D07">
        <w:rPr>
          <w:b/>
          <w:bCs/>
          <w:sz w:val="24"/>
          <w:szCs w:val="24"/>
        </w:rPr>
        <w:t>30 settembre 2019</w:t>
      </w:r>
      <w:r w:rsidRPr="00334D07">
        <w:rPr>
          <w:sz w:val="24"/>
          <w:szCs w:val="24"/>
        </w:rPr>
        <w:t xml:space="preserve"> le </w:t>
      </w:r>
      <w:r w:rsidRPr="00334D07">
        <w:rPr>
          <w:b/>
          <w:sz w:val="24"/>
          <w:szCs w:val="24"/>
        </w:rPr>
        <w:t>imprese attive</w:t>
      </w:r>
      <w:r w:rsidRPr="00334D07">
        <w:rPr>
          <w:sz w:val="24"/>
          <w:szCs w:val="24"/>
        </w:rPr>
        <w:t xml:space="preserve"> in Emilia-Romagna erano poco più di 400mila, 2.875 in meno rispetto allo stesso periodo dell’anno precedente (-0,7 per cento), a </w:t>
      </w:r>
      <w:proofErr w:type="gramStart"/>
      <w:r w:rsidRPr="00334D07">
        <w:rPr>
          <w:sz w:val="24"/>
          <w:szCs w:val="24"/>
        </w:rPr>
        <w:t>fronte  di</w:t>
      </w:r>
      <w:proofErr w:type="gramEnd"/>
      <w:r w:rsidRPr="00334D07">
        <w:rPr>
          <w:sz w:val="24"/>
          <w:szCs w:val="24"/>
        </w:rPr>
        <w:t xml:space="preserve"> un aumento del numero degli addetti nelle imprese dell’1,9 per cento. Una flessione del tessuto imprenditoriale che non va interpretata negativamente in quanto associata a una crescita occupazionale e, quindi, a un rafforzamento delle imprese esistenti. </w:t>
      </w:r>
    </w:p>
    <w:p w14:paraId="6FF6CF4D" w14:textId="77777777" w:rsidR="00334D07" w:rsidRPr="00334D07" w:rsidRDefault="00334D07" w:rsidP="004B2806">
      <w:pPr>
        <w:spacing w:line="276" w:lineRule="auto"/>
        <w:rPr>
          <w:sz w:val="24"/>
          <w:szCs w:val="24"/>
        </w:rPr>
      </w:pPr>
      <w:r w:rsidRPr="00334D07">
        <w:rPr>
          <w:sz w:val="24"/>
          <w:szCs w:val="24"/>
        </w:rPr>
        <w:t xml:space="preserve">Le </w:t>
      </w:r>
      <w:r w:rsidRPr="00334D07">
        <w:rPr>
          <w:b/>
          <w:sz w:val="24"/>
          <w:szCs w:val="24"/>
        </w:rPr>
        <w:t>aziende straniere</w:t>
      </w:r>
      <w:r w:rsidRPr="00334D07">
        <w:rPr>
          <w:sz w:val="24"/>
          <w:szCs w:val="24"/>
        </w:rPr>
        <w:t xml:space="preserve"> in Emilia-Romagna sono oltre 49mila, il 12 per cento del totale delle imprese regionali, il 2 per cento in più rispetto all’anno precedente. Si conferma la dinamica che vede il calo delle imprese con titolare italiano e la crescita degli stranieri che avviano un’attività imprenditoriale. </w:t>
      </w:r>
    </w:p>
    <w:p w14:paraId="6A7BB262" w14:textId="77777777" w:rsidR="00334D07" w:rsidRPr="00334D07" w:rsidRDefault="00334D07" w:rsidP="004B2806">
      <w:pPr>
        <w:spacing w:line="276" w:lineRule="auto"/>
        <w:rPr>
          <w:sz w:val="24"/>
          <w:szCs w:val="24"/>
        </w:rPr>
      </w:pPr>
      <w:r w:rsidRPr="00334D07">
        <w:rPr>
          <w:sz w:val="24"/>
          <w:szCs w:val="24"/>
        </w:rPr>
        <w:t>Gli imprenditori con nazionalità estera maggiormente presenti in regione provengono dalla Cina che lo scorso anno ha sopravanzato il Marocco, quest’ultimo nel 2019 superato anche dall’Albania. Servizi alla persona, commercio, ristorazione e attività manifatturiere (comparto della moda) i settori di maggior interesse per le quasi 5mila imprese cinesi. Sembra essersi esaurita l’ondata di nuova imprenditoria creata da nordafricani (Marocco, Tunisia, Egitto), cresce la componente asiatica e quella dell’Europa orientale.</w:t>
      </w:r>
    </w:p>
    <w:p w14:paraId="26774BB8" w14:textId="1BEE1FC3" w:rsidR="00334D07" w:rsidRPr="00334D07" w:rsidRDefault="00334D07" w:rsidP="004B2806">
      <w:pPr>
        <w:spacing w:line="276" w:lineRule="auto"/>
        <w:rPr>
          <w:sz w:val="24"/>
          <w:szCs w:val="24"/>
        </w:rPr>
      </w:pPr>
      <w:r w:rsidRPr="00334D07">
        <w:rPr>
          <w:sz w:val="24"/>
          <w:szCs w:val="24"/>
        </w:rPr>
        <w:t xml:space="preserve">Le </w:t>
      </w:r>
      <w:r w:rsidRPr="00334D07">
        <w:rPr>
          <w:b/>
          <w:sz w:val="24"/>
          <w:szCs w:val="24"/>
        </w:rPr>
        <w:t>imprese femminili</w:t>
      </w:r>
      <w:r w:rsidRPr="00334D07">
        <w:rPr>
          <w:sz w:val="24"/>
          <w:szCs w:val="24"/>
        </w:rPr>
        <w:t xml:space="preserve"> costituiscono oltre un quinto del tessuto imprenditoriale regionale, il 14 per cento dell’occupazione. Nell’ultimo anno il numero delle imprese femminili è rimasto pressoché invariato, mentre nel lungo periodo si è registrata una modesta crescita. Le imprese femminili ottengono risultati migliori rispetto alle altre anche sul fronte occupazionale, con una crescita più consistente sia nell’ultimo anno che nel lungo periodo.</w:t>
      </w:r>
    </w:p>
    <w:p w14:paraId="49A09DD2" w14:textId="38704D2D" w:rsidR="00334D07" w:rsidRDefault="00334D07" w:rsidP="004B2806">
      <w:pPr>
        <w:spacing w:line="276" w:lineRule="auto"/>
        <w:rPr>
          <w:sz w:val="24"/>
          <w:szCs w:val="24"/>
        </w:rPr>
      </w:pPr>
      <w:r w:rsidRPr="00334D07">
        <w:rPr>
          <w:sz w:val="24"/>
          <w:szCs w:val="24"/>
        </w:rPr>
        <w:t xml:space="preserve">Variazioni ancora negative per quanto riguarda le </w:t>
      </w:r>
      <w:r w:rsidRPr="00334D07">
        <w:rPr>
          <w:b/>
          <w:sz w:val="24"/>
          <w:szCs w:val="24"/>
        </w:rPr>
        <w:t>imprese giovanili</w:t>
      </w:r>
      <w:r w:rsidRPr="00334D07">
        <w:rPr>
          <w:sz w:val="24"/>
          <w:szCs w:val="24"/>
        </w:rPr>
        <w:t>, diminuite nell’ultimo anno del 2 per cento in termini di aziende, mentre l’occupazione è cresciuta del 2 per cento. Il calo del numero delle imprese giovanili va correlato sia all’andamento demografico della popolazione, sia al basso tasso di disoccupazione regionale; a differenza di quanto avviene in altre parti del Paese la possibilità di trovare un lavoro alle dipendenze disincentiva scelte volte all’autoimprenditorialità</w:t>
      </w:r>
      <w:r>
        <w:rPr>
          <w:sz w:val="24"/>
          <w:szCs w:val="24"/>
        </w:rPr>
        <w:t>.</w:t>
      </w:r>
    </w:p>
    <w:p w14:paraId="3463F97B" w14:textId="2A29DBEF" w:rsidR="007524DA" w:rsidRPr="00334D07" w:rsidRDefault="00334D07" w:rsidP="004B2806">
      <w:pPr>
        <w:spacing w:line="276" w:lineRule="auto"/>
        <w:rPr>
          <w:rFonts w:cs="Arial"/>
          <w:i/>
          <w:sz w:val="24"/>
          <w:szCs w:val="24"/>
        </w:rPr>
      </w:pPr>
      <w:r w:rsidRPr="00334D07">
        <w:rPr>
          <w:sz w:val="24"/>
          <w:szCs w:val="24"/>
        </w:rPr>
        <w:t xml:space="preserve">I dati sulla demografia d’impresa suddivisi per </w:t>
      </w:r>
      <w:r w:rsidRPr="00334D07">
        <w:rPr>
          <w:b/>
          <w:sz w:val="24"/>
          <w:szCs w:val="24"/>
        </w:rPr>
        <w:t>settore</w:t>
      </w:r>
      <w:r w:rsidRPr="00334D07">
        <w:rPr>
          <w:sz w:val="24"/>
          <w:szCs w:val="24"/>
        </w:rPr>
        <w:t xml:space="preserve"> confermano e prolungano le dinamiche in atto da alcuni anni. Vi sono alcuni comparti interessati da una progressiva </w:t>
      </w:r>
      <w:r w:rsidRPr="00334D07">
        <w:rPr>
          <w:b/>
          <w:bCs/>
          <w:sz w:val="24"/>
          <w:szCs w:val="24"/>
        </w:rPr>
        <w:t>riduzione del numero di imprese, in particolare l’agricoltura, le costruzioni e il manifatturiero</w:t>
      </w:r>
      <w:r w:rsidRPr="00334D07">
        <w:rPr>
          <w:sz w:val="24"/>
          <w:szCs w:val="24"/>
        </w:rPr>
        <w:t>. In calo anche il commercio, flessione contenuta dalla crescita al suo interno della componente più rivolta al turismo, in particolare le attività legate all’alloggio e alla ristorazione. Crescono i servizi, sia quelli rivolti alle imprese sia quelli alle persone</w:t>
      </w:r>
      <w:r w:rsidR="004B2806">
        <w:rPr>
          <w:sz w:val="24"/>
          <w:szCs w:val="24"/>
        </w:rPr>
        <w:t>.</w:t>
      </w:r>
    </w:p>
    <w:p w14:paraId="3BF9ACFA" w14:textId="77777777" w:rsidR="00334D07" w:rsidRDefault="00334D07" w:rsidP="007524DA">
      <w:pPr>
        <w:spacing w:line="276" w:lineRule="auto"/>
        <w:rPr>
          <w:rFonts w:cs="Arial"/>
          <w:b/>
          <w:i/>
          <w:sz w:val="24"/>
          <w:szCs w:val="24"/>
        </w:rPr>
      </w:pPr>
    </w:p>
    <w:p w14:paraId="7A66A937" w14:textId="7CF772BD" w:rsidR="007524DA" w:rsidRPr="008734A7" w:rsidRDefault="007524DA" w:rsidP="007524DA">
      <w:pPr>
        <w:spacing w:line="276" w:lineRule="auto"/>
        <w:rPr>
          <w:rFonts w:cs="Arial"/>
          <w:b/>
          <w:i/>
          <w:sz w:val="24"/>
          <w:szCs w:val="24"/>
        </w:rPr>
      </w:pPr>
      <w:r w:rsidRPr="008734A7">
        <w:rPr>
          <w:rFonts w:cs="Arial"/>
          <w:b/>
          <w:i/>
          <w:sz w:val="24"/>
          <w:szCs w:val="24"/>
        </w:rPr>
        <w:lastRenderedPageBreak/>
        <w:t>b) Lo stato dell’occupazione</w:t>
      </w:r>
    </w:p>
    <w:p w14:paraId="099019BC" w14:textId="77777777" w:rsidR="00334D07" w:rsidRPr="004B2806" w:rsidRDefault="00334D07" w:rsidP="00334D07">
      <w:pPr>
        <w:spacing w:line="276" w:lineRule="auto"/>
        <w:rPr>
          <w:rFonts w:cs="Arial"/>
          <w:b/>
          <w:bCs/>
          <w:sz w:val="24"/>
          <w:szCs w:val="24"/>
        </w:rPr>
      </w:pPr>
      <w:r w:rsidRPr="00334D07">
        <w:rPr>
          <w:rFonts w:cs="Arial"/>
          <w:sz w:val="24"/>
          <w:szCs w:val="24"/>
        </w:rPr>
        <w:t>Secondo l’indagine Istat sulle forze di lavoro, i primi nove mesi del 2019 si sono chiusi positivamente per l’occupazione in regione. Tra gennaio e settembre l’</w:t>
      </w:r>
      <w:r w:rsidRPr="00334D07">
        <w:rPr>
          <w:rFonts w:cs="Arial"/>
          <w:b/>
          <w:sz w:val="24"/>
          <w:szCs w:val="24"/>
        </w:rPr>
        <w:t>occupazione</w:t>
      </w:r>
      <w:r w:rsidRPr="00334D07">
        <w:rPr>
          <w:rFonts w:cs="Arial"/>
          <w:sz w:val="24"/>
          <w:szCs w:val="24"/>
        </w:rPr>
        <w:t xml:space="preserve"> dell’Emilia-Romagna </w:t>
      </w:r>
      <w:r w:rsidRPr="007B3383">
        <w:rPr>
          <w:rFonts w:cs="Arial"/>
          <w:sz w:val="24"/>
          <w:szCs w:val="24"/>
        </w:rPr>
        <w:t>è mediamente ammontata a circa 2.031.000 persone</w:t>
      </w:r>
      <w:r w:rsidRPr="00334D07">
        <w:rPr>
          <w:rFonts w:cs="Arial"/>
          <w:sz w:val="24"/>
          <w:szCs w:val="24"/>
        </w:rPr>
        <w:t xml:space="preserve">, vale a dire oltre 26.000 occupati in più rispetto all’analogo periodo del 2017, per </w:t>
      </w:r>
      <w:r w:rsidRPr="004B2806">
        <w:rPr>
          <w:rFonts w:cs="Arial"/>
          <w:b/>
          <w:bCs/>
          <w:sz w:val="24"/>
          <w:szCs w:val="24"/>
        </w:rPr>
        <w:t xml:space="preserve">un incremento dell’1,3 per cento. </w:t>
      </w:r>
    </w:p>
    <w:p w14:paraId="7837E901" w14:textId="77777777" w:rsidR="00334D07" w:rsidRPr="00334D07" w:rsidRDefault="00334D07" w:rsidP="00334D07">
      <w:pPr>
        <w:spacing w:line="276" w:lineRule="auto"/>
        <w:rPr>
          <w:rFonts w:cs="Arial"/>
          <w:sz w:val="24"/>
          <w:szCs w:val="24"/>
        </w:rPr>
      </w:pPr>
      <w:r w:rsidRPr="00334D07">
        <w:rPr>
          <w:rFonts w:cs="Arial"/>
          <w:sz w:val="24"/>
          <w:szCs w:val="24"/>
        </w:rPr>
        <w:t xml:space="preserve">Il </w:t>
      </w:r>
      <w:r w:rsidRPr="00334D07">
        <w:rPr>
          <w:rFonts w:cs="Arial"/>
          <w:b/>
          <w:sz w:val="24"/>
          <w:szCs w:val="24"/>
        </w:rPr>
        <w:t>tasso disoccupazione</w:t>
      </w:r>
      <w:r w:rsidRPr="00334D07">
        <w:rPr>
          <w:rFonts w:cs="Arial"/>
          <w:sz w:val="24"/>
          <w:szCs w:val="24"/>
        </w:rPr>
        <w:t xml:space="preserve">, che misura l’incidenza delle persone in cerca di occupazione sul totale delle forze di lavoro (cioè di coloro che hanno un lavoro o lo cercano attivamente), nei primi nove mesi del 2019 è stato </w:t>
      </w:r>
      <w:r w:rsidRPr="007B3383">
        <w:rPr>
          <w:rFonts w:cs="Arial"/>
          <w:sz w:val="24"/>
          <w:szCs w:val="24"/>
        </w:rPr>
        <w:t>pari al 5,4 per cento</w:t>
      </w:r>
      <w:r w:rsidRPr="004B2806">
        <w:rPr>
          <w:rFonts w:cs="Arial"/>
          <w:b/>
          <w:bCs/>
          <w:sz w:val="24"/>
          <w:szCs w:val="24"/>
        </w:rPr>
        <w:t xml:space="preserve"> in discesa rispetto all’analogo periodo del 2018, </w:t>
      </w:r>
      <w:r w:rsidRPr="00334D07">
        <w:rPr>
          <w:rFonts w:cs="Arial"/>
          <w:sz w:val="24"/>
          <w:szCs w:val="24"/>
        </w:rPr>
        <w:t xml:space="preserve">quando era pari al 5,7 per cento. </w:t>
      </w:r>
    </w:p>
    <w:p w14:paraId="13F2D5E9" w14:textId="77777777" w:rsidR="00334D07" w:rsidRPr="00334D07" w:rsidRDefault="00334D07" w:rsidP="00334D07">
      <w:pPr>
        <w:spacing w:line="276" w:lineRule="auto"/>
        <w:rPr>
          <w:rFonts w:cs="Arial"/>
          <w:sz w:val="24"/>
          <w:szCs w:val="24"/>
        </w:rPr>
      </w:pPr>
      <w:r w:rsidRPr="00334D07">
        <w:rPr>
          <w:rFonts w:cs="Arial"/>
          <w:sz w:val="24"/>
          <w:szCs w:val="24"/>
        </w:rPr>
        <w:t xml:space="preserve">Il </w:t>
      </w:r>
      <w:r w:rsidRPr="00334D07">
        <w:rPr>
          <w:rFonts w:cs="Arial"/>
          <w:b/>
          <w:sz w:val="24"/>
          <w:szCs w:val="24"/>
        </w:rPr>
        <w:t>tasso di occupazione</w:t>
      </w:r>
      <w:r w:rsidRPr="00334D07">
        <w:rPr>
          <w:rFonts w:cs="Arial"/>
          <w:sz w:val="24"/>
          <w:szCs w:val="24"/>
        </w:rPr>
        <w:t xml:space="preserve">, che misura il peso delle persone che tra i 15 ed i 64 anni lavorano sulla popolazione complessiva della medesima fascia d’età, nei primi nove mesi del 2019 </w:t>
      </w:r>
      <w:r w:rsidRPr="004B2806">
        <w:rPr>
          <w:rFonts w:cs="Arial"/>
          <w:b/>
          <w:bCs/>
          <w:sz w:val="24"/>
          <w:szCs w:val="24"/>
        </w:rPr>
        <w:t>ha raggiunto il 70,4 per cento</w:t>
      </w:r>
      <w:r w:rsidRPr="00334D07">
        <w:rPr>
          <w:rFonts w:cs="Arial"/>
          <w:sz w:val="24"/>
          <w:szCs w:val="24"/>
        </w:rPr>
        <w:t>. Nello stesso periodo del 2018 il valore era pari a 69,6 per cento.</w:t>
      </w:r>
    </w:p>
    <w:p w14:paraId="6604F993" w14:textId="77777777" w:rsidR="00334D07" w:rsidRPr="00334D07" w:rsidRDefault="00334D07" w:rsidP="00334D07">
      <w:pPr>
        <w:spacing w:line="276" w:lineRule="auto"/>
        <w:rPr>
          <w:rFonts w:cs="Arial"/>
          <w:sz w:val="24"/>
          <w:szCs w:val="24"/>
        </w:rPr>
      </w:pPr>
      <w:r w:rsidRPr="00334D07">
        <w:rPr>
          <w:rFonts w:cs="Arial"/>
          <w:sz w:val="24"/>
          <w:szCs w:val="24"/>
        </w:rPr>
        <w:t xml:space="preserve">Da </w:t>
      </w:r>
      <w:r w:rsidRPr="00334D07">
        <w:rPr>
          <w:rFonts w:cs="Arial"/>
          <w:b/>
          <w:sz w:val="24"/>
          <w:szCs w:val="24"/>
        </w:rPr>
        <w:t>punto di vista del genere</w:t>
      </w:r>
      <w:r w:rsidRPr="00334D07">
        <w:rPr>
          <w:rFonts w:cs="Arial"/>
          <w:sz w:val="24"/>
          <w:szCs w:val="24"/>
        </w:rPr>
        <w:t xml:space="preserve"> va notato come i buoni dati sull’occupazione dell’Emilia-Romagna derivino anche dall’elevata partecipazione al mercato del lavoro della componente femminile. Nei primi nove mesi dell’anno il tasso di occupazione femminile è stato del 64 per cento, in crescita rispetto all’anno precedente, 62,7 per cento. Il tasso di disoccupazione femminile si è attestato al 6,7 per cento (6,9 per cento nel 2018). </w:t>
      </w:r>
    </w:p>
    <w:p w14:paraId="67E76380" w14:textId="77777777" w:rsidR="00334D07" w:rsidRPr="00334D07" w:rsidRDefault="00334D07" w:rsidP="00334D07">
      <w:pPr>
        <w:spacing w:line="276" w:lineRule="auto"/>
        <w:rPr>
          <w:rFonts w:cs="Arial"/>
          <w:sz w:val="24"/>
          <w:szCs w:val="24"/>
        </w:rPr>
      </w:pPr>
      <w:r w:rsidRPr="00334D07">
        <w:rPr>
          <w:rFonts w:cs="Arial"/>
          <w:sz w:val="24"/>
          <w:szCs w:val="24"/>
        </w:rPr>
        <w:t xml:space="preserve">Le ore di </w:t>
      </w:r>
      <w:r w:rsidRPr="00334D07">
        <w:rPr>
          <w:rFonts w:cs="Arial"/>
          <w:b/>
          <w:sz w:val="24"/>
          <w:szCs w:val="24"/>
        </w:rPr>
        <w:t xml:space="preserve">cassa integrazione </w:t>
      </w:r>
      <w:r w:rsidRPr="00334D07">
        <w:rPr>
          <w:rFonts w:cs="Arial"/>
          <w:sz w:val="24"/>
          <w:szCs w:val="24"/>
        </w:rPr>
        <w:t>autorizzate nei primi 10 mesi del 2019 risultano in aumento rispetto allo stesso periodo del 2019 (27 per cento in più). Cresce il ricorso alla cassa straordinaria nel manifatturiero e soprattutto nell’edilizia, per le artigiane aumenta considerevolmente la cassa integrazione in deroga.</w:t>
      </w:r>
    </w:p>
    <w:p w14:paraId="57C74EB1" w14:textId="77777777" w:rsidR="007524DA" w:rsidRPr="008734A7" w:rsidRDefault="007524DA" w:rsidP="007524DA">
      <w:pPr>
        <w:spacing w:line="276" w:lineRule="auto"/>
        <w:rPr>
          <w:rFonts w:cs="Arial"/>
          <w:b/>
          <w:i/>
          <w:sz w:val="24"/>
          <w:szCs w:val="24"/>
        </w:rPr>
      </w:pPr>
    </w:p>
    <w:p w14:paraId="1422B7B7" w14:textId="13F0D20D" w:rsidR="007524DA" w:rsidRDefault="007524DA" w:rsidP="007524DA">
      <w:pPr>
        <w:spacing w:line="276" w:lineRule="auto"/>
        <w:rPr>
          <w:rFonts w:cs="Arial"/>
          <w:b/>
          <w:i/>
          <w:sz w:val="24"/>
          <w:szCs w:val="24"/>
        </w:rPr>
      </w:pPr>
      <w:r w:rsidRPr="008734A7">
        <w:rPr>
          <w:rFonts w:cs="Arial"/>
          <w:b/>
          <w:i/>
          <w:sz w:val="24"/>
          <w:szCs w:val="24"/>
        </w:rPr>
        <w:t xml:space="preserve">c) La qualità del credito </w:t>
      </w:r>
    </w:p>
    <w:p w14:paraId="3FEFA642" w14:textId="1D310D0B" w:rsidR="004B2806" w:rsidRPr="004B2806" w:rsidRDefault="004B2806" w:rsidP="007B3383">
      <w:pPr>
        <w:spacing w:line="276" w:lineRule="auto"/>
        <w:rPr>
          <w:b/>
          <w:bCs/>
          <w:sz w:val="24"/>
          <w:szCs w:val="24"/>
        </w:rPr>
      </w:pPr>
      <w:r w:rsidRPr="004B2806">
        <w:rPr>
          <w:rFonts w:cs="Arial"/>
          <w:sz w:val="24"/>
          <w:szCs w:val="24"/>
        </w:rPr>
        <w:t>Secondo i dati provvisori forniti dalla Banca d’Italia</w:t>
      </w:r>
      <w:r w:rsidRPr="004B2806">
        <w:rPr>
          <w:rFonts w:cs="Arial"/>
          <w:b/>
          <w:bCs/>
          <w:sz w:val="24"/>
          <w:szCs w:val="24"/>
        </w:rPr>
        <w:t>, la consistenza dei prestiti bancari concessi al complesso dell’economia regionale a fine settembre 2019 risultava in espansione dello 0,7 per cento</w:t>
      </w:r>
      <w:r w:rsidRPr="004B2806">
        <w:rPr>
          <w:rFonts w:cs="Arial"/>
          <w:sz w:val="24"/>
          <w:szCs w:val="24"/>
        </w:rPr>
        <w:t xml:space="preserve"> rispetto allo stesso periodo dell’anno precedente. Dal punto di vista settoriale, continua l’espansione del credito concesso alle famiglie consumatrici (+3,4 per cento) mentre si registra una contrazione di quello accordato alle famiglie produttrici (-2,3 per cento). Per il settore delle imprese si nota una contrapposizione netta tra gli andamenti </w:t>
      </w:r>
      <w:proofErr w:type="gramStart"/>
      <w:r w:rsidRPr="004B2806">
        <w:rPr>
          <w:rFonts w:cs="Arial"/>
          <w:sz w:val="24"/>
          <w:szCs w:val="24"/>
        </w:rPr>
        <w:t>delle medio</w:t>
      </w:r>
      <w:proofErr w:type="gramEnd"/>
      <w:r w:rsidRPr="004B2806">
        <w:rPr>
          <w:rFonts w:cs="Arial"/>
          <w:sz w:val="24"/>
          <w:szCs w:val="24"/>
        </w:rPr>
        <w:t xml:space="preserve"> grandi (+0,5 per cento) e quelle piccole (-3,1 per cento).</w:t>
      </w:r>
      <w:r>
        <w:rPr>
          <w:rFonts w:cs="Arial"/>
          <w:sz w:val="24"/>
          <w:szCs w:val="24"/>
        </w:rPr>
        <w:t xml:space="preserve"> </w:t>
      </w:r>
      <w:r w:rsidRPr="004B2806">
        <w:rPr>
          <w:rFonts w:cs="Arial"/>
          <w:b/>
          <w:bCs/>
          <w:sz w:val="24"/>
          <w:szCs w:val="24"/>
        </w:rPr>
        <w:t>Per quel che riguarda la qualità del credito, nei primi nove mesi del 2019 è proseguito il graduale miglioramento del credito erogato all’economia regionale.</w:t>
      </w:r>
    </w:p>
    <w:p w14:paraId="67C9F6E9" w14:textId="77777777" w:rsidR="004B2806" w:rsidRPr="004B2806" w:rsidRDefault="004B2806" w:rsidP="007B3383">
      <w:pPr>
        <w:spacing w:line="276" w:lineRule="auto"/>
        <w:rPr>
          <w:rFonts w:cs="Arial"/>
          <w:sz w:val="24"/>
          <w:szCs w:val="24"/>
        </w:rPr>
      </w:pPr>
      <w:r w:rsidRPr="004B2806">
        <w:rPr>
          <w:rFonts w:cs="Arial"/>
          <w:sz w:val="24"/>
          <w:szCs w:val="24"/>
        </w:rPr>
        <w:t xml:space="preserve">I rapporti tra banca </w:t>
      </w:r>
      <w:proofErr w:type="spellStart"/>
      <w:r w:rsidRPr="004B2806">
        <w:rPr>
          <w:rFonts w:cs="Arial"/>
          <w:sz w:val="24"/>
          <w:szCs w:val="24"/>
        </w:rPr>
        <w:t>ed</w:t>
      </w:r>
      <w:proofErr w:type="spellEnd"/>
      <w:r w:rsidRPr="004B2806">
        <w:rPr>
          <w:rFonts w:cs="Arial"/>
          <w:sz w:val="24"/>
          <w:szCs w:val="24"/>
        </w:rPr>
        <w:t xml:space="preserve"> impresa in Emilia-Romagna sono tradizionalmente oggetto di analisi dall’Osservatorio sul credito che Unioncamere Emilia-Romagna e le Camere di commercio attive in regione realizzano congiuntamente dal 2009. </w:t>
      </w:r>
    </w:p>
    <w:p w14:paraId="4A1226AE" w14:textId="7DCE1790" w:rsidR="004B2806" w:rsidRPr="004B2806" w:rsidRDefault="004B2806" w:rsidP="007B3383">
      <w:pPr>
        <w:spacing w:line="276" w:lineRule="auto"/>
        <w:rPr>
          <w:rFonts w:cs="Arial"/>
          <w:sz w:val="24"/>
          <w:szCs w:val="24"/>
        </w:rPr>
      </w:pPr>
      <w:r w:rsidRPr="004B2806">
        <w:rPr>
          <w:rFonts w:cs="Arial"/>
          <w:sz w:val="24"/>
          <w:szCs w:val="24"/>
        </w:rPr>
        <w:t xml:space="preserve">La lenta marcia verso il miglioramento sembra essersi fermata nel primo semestre 2019. </w:t>
      </w:r>
      <w:r w:rsidRPr="004B2806">
        <w:rPr>
          <w:sz w:val="24"/>
          <w:szCs w:val="24"/>
        </w:rPr>
        <w:t xml:space="preserve">In particolare, la battuta d’arresto appare più evidente per quel che riguarda i parametri di costo del finanziamento. </w:t>
      </w:r>
      <w:r w:rsidRPr="004B2806">
        <w:rPr>
          <w:b/>
          <w:bCs/>
          <w:sz w:val="24"/>
          <w:szCs w:val="24"/>
        </w:rPr>
        <w:t>Il livello di soddisfazione risulta in particolare contrazione nei confronti del costo complessivo del credito e relativamente alla soddisfazione rispetto alle garanzie richieste</w:t>
      </w:r>
      <w:r w:rsidRPr="004B2806">
        <w:rPr>
          <w:rFonts w:cs="Arial"/>
          <w:sz w:val="24"/>
          <w:szCs w:val="24"/>
        </w:rPr>
        <w:t xml:space="preserve">. </w:t>
      </w:r>
      <w:r w:rsidRPr="004B2806">
        <w:rPr>
          <w:rFonts w:cs="Arial"/>
          <w:b/>
          <w:bCs/>
          <w:sz w:val="24"/>
          <w:szCs w:val="24"/>
        </w:rPr>
        <w:t xml:space="preserve">In termini settoriali, i comparti che riportano una situazione migliore rispetto alla media sono meccanica e </w:t>
      </w:r>
      <w:r w:rsidRPr="004B2806">
        <w:rPr>
          <w:rFonts w:cs="Arial"/>
          <w:b/>
          <w:bCs/>
          <w:sz w:val="24"/>
          <w:szCs w:val="24"/>
        </w:rPr>
        <w:lastRenderedPageBreak/>
        <w:t>alimentare</w:t>
      </w:r>
      <w:r>
        <w:rPr>
          <w:rFonts w:cs="Arial"/>
          <w:b/>
          <w:bCs/>
          <w:sz w:val="24"/>
          <w:szCs w:val="24"/>
        </w:rPr>
        <w:t>,</w:t>
      </w:r>
      <w:r w:rsidRPr="004B2806">
        <w:rPr>
          <w:rFonts w:cs="Arial"/>
          <w:b/>
          <w:bCs/>
          <w:sz w:val="24"/>
          <w:szCs w:val="24"/>
        </w:rPr>
        <w:t xml:space="preserve"> moda</w:t>
      </w:r>
      <w:r w:rsidRPr="004B2806">
        <w:rPr>
          <w:rFonts w:cs="Arial"/>
          <w:sz w:val="24"/>
          <w:szCs w:val="24"/>
        </w:rPr>
        <w:t xml:space="preserve"> mentre quelli che riportano una situazione meno favorevole sono le costruzioni e il commercio. </w:t>
      </w:r>
    </w:p>
    <w:p w14:paraId="18B702B5" w14:textId="77777777" w:rsidR="004B2806" w:rsidRPr="004B2806" w:rsidRDefault="004B2806" w:rsidP="004B2806">
      <w:pPr>
        <w:spacing w:line="276" w:lineRule="auto"/>
        <w:rPr>
          <w:rFonts w:cs="Arial"/>
          <w:b/>
          <w:i/>
          <w:sz w:val="24"/>
          <w:szCs w:val="24"/>
        </w:rPr>
      </w:pPr>
    </w:p>
    <w:p w14:paraId="33061430" w14:textId="77777777" w:rsidR="007524DA" w:rsidRDefault="007524DA" w:rsidP="00D8220A">
      <w:pPr>
        <w:pStyle w:val="Titolo1"/>
      </w:pPr>
    </w:p>
    <w:p w14:paraId="5F1E9B6B" w14:textId="77777777" w:rsidR="007524DA" w:rsidRDefault="007524DA" w:rsidP="00D8220A">
      <w:pPr>
        <w:pStyle w:val="Titolo1"/>
      </w:pPr>
    </w:p>
    <w:p w14:paraId="2C74D019" w14:textId="77777777" w:rsidR="007524DA" w:rsidRDefault="007524DA" w:rsidP="00D8220A">
      <w:pPr>
        <w:pStyle w:val="Titolo1"/>
      </w:pPr>
    </w:p>
    <w:sectPr w:rsidR="007524DA" w:rsidSect="00986FFE">
      <w:headerReference w:type="even" r:id="rId8"/>
      <w:footerReference w:type="default" r:id="rId9"/>
      <w:footnotePr>
        <w:numRestart w:val="eachSect"/>
      </w:footnotePr>
      <w:pgSz w:w="11907" w:h="16840" w:code="9"/>
      <w:pgMar w:top="1276" w:right="992" w:bottom="1276" w:left="1559"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E87AD" w14:textId="77777777" w:rsidR="008D3A88" w:rsidRDefault="008D3A88">
      <w:r>
        <w:separator/>
      </w:r>
    </w:p>
    <w:p w14:paraId="7E07AB9F" w14:textId="77777777" w:rsidR="008D3A88" w:rsidRDefault="008D3A88"/>
  </w:endnote>
  <w:endnote w:type="continuationSeparator" w:id="0">
    <w:p w14:paraId="1E5CFFC2" w14:textId="77777777" w:rsidR="008D3A88" w:rsidRDefault="008D3A88">
      <w:r>
        <w:continuationSeparator/>
      </w:r>
    </w:p>
    <w:p w14:paraId="70CC6CC5" w14:textId="77777777" w:rsidR="008D3A88" w:rsidRDefault="008D3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A7F6A" w14:textId="77777777" w:rsidR="007709BA" w:rsidRDefault="002F0B21" w:rsidP="00541FB1">
    <w:pPr>
      <w:pStyle w:val="Pidipaginacorsivo"/>
    </w:pPr>
    <w:bookmarkStart w:id="1" w:name="OLE_LINK15"/>
    <w:bookmarkStart w:id="2" w:name="OLE_LINK16"/>
    <w:r>
      <w:rPr>
        <w:noProof/>
      </w:rPr>
      <mc:AlternateContent>
        <mc:Choice Requires="wps">
          <w:drawing>
            <wp:anchor distT="0" distB="0" distL="114300" distR="114300" simplePos="0" relativeHeight="251656192" behindDoc="0" locked="0" layoutInCell="0" allowOverlap="1" wp14:anchorId="753721D7" wp14:editId="5F1A32D5">
              <wp:simplePos x="0" y="0"/>
              <wp:positionH relativeFrom="column">
                <wp:posOffset>15240</wp:posOffset>
              </wp:positionH>
              <wp:positionV relativeFrom="paragraph">
                <wp:posOffset>121920</wp:posOffset>
              </wp:positionV>
              <wp:extent cx="5943600" cy="0"/>
              <wp:effectExtent l="0" t="0" r="0" b="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7B895"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9.6pt" to="469.2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" o:allowincell="f">
              <w10:wrap type="topAndBottom"/>
            </v:line>
          </w:pict>
        </mc:Fallback>
      </mc:AlternateContent>
    </w:r>
  </w:p>
  <w:bookmarkEnd w:id="1"/>
  <w:bookmarkEnd w:i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43EFD" w14:textId="77777777" w:rsidR="008D3A88" w:rsidRDefault="008D3A88">
      <w:r>
        <w:separator/>
      </w:r>
    </w:p>
    <w:p w14:paraId="4C0141CE" w14:textId="77777777" w:rsidR="008D3A88" w:rsidRDefault="008D3A88"/>
  </w:footnote>
  <w:footnote w:type="continuationSeparator" w:id="0">
    <w:p w14:paraId="13625C37" w14:textId="77777777" w:rsidR="008D3A88" w:rsidRDefault="008D3A88">
      <w:r>
        <w:continuationSeparator/>
      </w:r>
    </w:p>
    <w:p w14:paraId="3F7876DB" w14:textId="77777777" w:rsidR="008D3A88" w:rsidRDefault="008D3A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EA794" w14:textId="77777777" w:rsidR="007709BA" w:rsidRDefault="007709BA" w:rsidP="009D094D">
    <w:pPr>
      <w:framePr w:wrap="around" w:vAnchor="text" w:hAnchor="margin" w:xAlign="outside" w:y="1"/>
      <w:ind w:firstLine="0"/>
      <w:rPr>
        <w:rStyle w:val="Numeropagina"/>
      </w:rPr>
    </w:pPr>
    <w:r>
      <w:rPr>
        <w:rStyle w:val="Numeropagina"/>
      </w:rPr>
      <w:fldChar w:fldCharType="begin"/>
    </w:r>
    <w:r>
      <w:rPr>
        <w:rStyle w:val="Numeropagina"/>
      </w:rPr>
      <w:instrText xml:space="preserve">PAGE  </w:instrText>
    </w:r>
    <w:r>
      <w:rPr>
        <w:rStyle w:val="Numeropagina"/>
      </w:rPr>
      <w:fldChar w:fldCharType="separate"/>
    </w:r>
    <w:r w:rsidR="00B43272">
      <w:rPr>
        <w:rStyle w:val="Numeropagina"/>
        <w:noProof/>
      </w:rPr>
      <w:t>8</w:t>
    </w:r>
    <w:r>
      <w:rPr>
        <w:rStyle w:val="Numeropagina"/>
      </w:rPr>
      <w:fldChar w:fldCharType="end"/>
    </w:r>
  </w:p>
  <w:p w14:paraId="66786201" w14:textId="77777777" w:rsidR="007709BA" w:rsidRDefault="002F0B21" w:rsidP="00521119">
    <w:pPr>
      <w:pStyle w:val="Intestazionecorsivo"/>
    </w:pPr>
    <w:r>
      <mc:AlternateContent>
        <mc:Choice Requires="wps">
          <w:drawing>
            <wp:anchor distT="0" distB="0" distL="114300" distR="114300" simplePos="0" relativeHeight="251658240" behindDoc="0" locked="0" layoutInCell="0" allowOverlap="1" wp14:anchorId="405DC605" wp14:editId="688275D2">
              <wp:simplePos x="0" y="0"/>
              <wp:positionH relativeFrom="column">
                <wp:posOffset>15240</wp:posOffset>
              </wp:positionH>
              <wp:positionV relativeFrom="paragraph">
                <wp:posOffset>36830</wp:posOffset>
              </wp:positionV>
              <wp:extent cx="5943600" cy="0"/>
              <wp:effectExtent l="0" t="0" r="0" b="0"/>
              <wp:wrapTopAndBottom/>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475971"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2.9pt" to="469.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" o:allowincell="f">
              <w10:wrap type="topAndBottom"/>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C6F"/>
    <w:multiLevelType w:val="hybridMultilevel"/>
    <w:tmpl w:val="015A29D4"/>
    <w:lvl w:ilvl="0" w:tplc="04100001">
      <w:start w:val="1"/>
      <w:numFmt w:val="bullet"/>
      <w:lvlText w:val=""/>
      <w:lvlJc w:val="left"/>
      <w:pPr>
        <w:ind w:left="947" w:hanging="360"/>
      </w:pPr>
      <w:rPr>
        <w:rFonts w:ascii="Symbol" w:hAnsi="Symbol" w:hint="default"/>
      </w:rPr>
    </w:lvl>
    <w:lvl w:ilvl="1" w:tplc="04100003" w:tentative="1">
      <w:start w:val="1"/>
      <w:numFmt w:val="bullet"/>
      <w:lvlText w:val="o"/>
      <w:lvlJc w:val="left"/>
      <w:pPr>
        <w:ind w:left="1667" w:hanging="360"/>
      </w:pPr>
      <w:rPr>
        <w:rFonts w:ascii="Courier New" w:hAnsi="Courier New" w:cs="Courier New" w:hint="default"/>
      </w:rPr>
    </w:lvl>
    <w:lvl w:ilvl="2" w:tplc="04100005" w:tentative="1">
      <w:start w:val="1"/>
      <w:numFmt w:val="bullet"/>
      <w:lvlText w:val=""/>
      <w:lvlJc w:val="left"/>
      <w:pPr>
        <w:ind w:left="2387" w:hanging="360"/>
      </w:pPr>
      <w:rPr>
        <w:rFonts w:ascii="Wingdings" w:hAnsi="Wingdings" w:hint="default"/>
      </w:rPr>
    </w:lvl>
    <w:lvl w:ilvl="3" w:tplc="04100001" w:tentative="1">
      <w:start w:val="1"/>
      <w:numFmt w:val="bullet"/>
      <w:lvlText w:val=""/>
      <w:lvlJc w:val="left"/>
      <w:pPr>
        <w:ind w:left="3107" w:hanging="360"/>
      </w:pPr>
      <w:rPr>
        <w:rFonts w:ascii="Symbol" w:hAnsi="Symbol" w:hint="default"/>
      </w:rPr>
    </w:lvl>
    <w:lvl w:ilvl="4" w:tplc="04100003" w:tentative="1">
      <w:start w:val="1"/>
      <w:numFmt w:val="bullet"/>
      <w:lvlText w:val="o"/>
      <w:lvlJc w:val="left"/>
      <w:pPr>
        <w:ind w:left="3827" w:hanging="360"/>
      </w:pPr>
      <w:rPr>
        <w:rFonts w:ascii="Courier New" w:hAnsi="Courier New" w:cs="Courier New" w:hint="default"/>
      </w:rPr>
    </w:lvl>
    <w:lvl w:ilvl="5" w:tplc="04100005" w:tentative="1">
      <w:start w:val="1"/>
      <w:numFmt w:val="bullet"/>
      <w:lvlText w:val=""/>
      <w:lvlJc w:val="left"/>
      <w:pPr>
        <w:ind w:left="4547" w:hanging="360"/>
      </w:pPr>
      <w:rPr>
        <w:rFonts w:ascii="Wingdings" w:hAnsi="Wingdings" w:hint="default"/>
      </w:rPr>
    </w:lvl>
    <w:lvl w:ilvl="6" w:tplc="04100001" w:tentative="1">
      <w:start w:val="1"/>
      <w:numFmt w:val="bullet"/>
      <w:lvlText w:val=""/>
      <w:lvlJc w:val="left"/>
      <w:pPr>
        <w:ind w:left="5267" w:hanging="360"/>
      </w:pPr>
      <w:rPr>
        <w:rFonts w:ascii="Symbol" w:hAnsi="Symbol" w:hint="default"/>
      </w:rPr>
    </w:lvl>
    <w:lvl w:ilvl="7" w:tplc="04100003" w:tentative="1">
      <w:start w:val="1"/>
      <w:numFmt w:val="bullet"/>
      <w:lvlText w:val="o"/>
      <w:lvlJc w:val="left"/>
      <w:pPr>
        <w:ind w:left="5987" w:hanging="360"/>
      </w:pPr>
      <w:rPr>
        <w:rFonts w:ascii="Courier New" w:hAnsi="Courier New" w:cs="Courier New" w:hint="default"/>
      </w:rPr>
    </w:lvl>
    <w:lvl w:ilvl="8" w:tplc="04100005" w:tentative="1">
      <w:start w:val="1"/>
      <w:numFmt w:val="bullet"/>
      <w:lvlText w:val=""/>
      <w:lvlJc w:val="left"/>
      <w:pPr>
        <w:ind w:left="670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mirrorMargin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0B21"/>
    <w:rsid w:val="00007F5A"/>
    <w:rsid w:val="00032775"/>
    <w:rsid w:val="00033658"/>
    <w:rsid w:val="000355D6"/>
    <w:rsid w:val="00055D4D"/>
    <w:rsid w:val="000621FA"/>
    <w:rsid w:val="00067E4A"/>
    <w:rsid w:val="00071EE8"/>
    <w:rsid w:val="000735D4"/>
    <w:rsid w:val="000B4C94"/>
    <w:rsid w:val="000D1534"/>
    <w:rsid w:val="000D74A5"/>
    <w:rsid w:val="000F09B4"/>
    <w:rsid w:val="00103FCA"/>
    <w:rsid w:val="0010766F"/>
    <w:rsid w:val="00107C21"/>
    <w:rsid w:val="00126A7C"/>
    <w:rsid w:val="001353BB"/>
    <w:rsid w:val="00136FD2"/>
    <w:rsid w:val="0014540F"/>
    <w:rsid w:val="0014543C"/>
    <w:rsid w:val="00145E25"/>
    <w:rsid w:val="0015630F"/>
    <w:rsid w:val="0016238A"/>
    <w:rsid w:val="001623C7"/>
    <w:rsid w:val="00167D32"/>
    <w:rsid w:val="001803AB"/>
    <w:rsid w:val="001C07BD"/>
    <w:rsid w:val="001D0456"/>
    <w:rsid w:val="001D1272"/>
    <w:rsid w:val="002139BE"/>
    <w:rsid w:val="00217E09"/>
    <w:rsid w:val="0023194D"/>
    <w:rsid w:val="00256848"/>
    <w:rsid w:val="00285025"/>
    <w:rsid w:val="002A2AE9"/>
    <w:rsid w:val="002E785B"/>
    <w:rsid w:val="002F0B21"/>
    <w:rsid w:val="002F3F01"/>
    <w:rsid w:val="00301E6A"/>
    <w:rsid w:val="003132B4"/>
    <w:rsid w:val="0032758B"/>
    <w:rsid w:val="00334C28"/>
    <w:rsid w:val="00334D07"/>
    <w:rsid w:val="003351D9"/>
    <w:rsid w:val="003717CA"/>
    <w:rsid w:val="003C3CFD"/>
    <w:rsid w:val="003E1166"/>
    <w:rsid w:val="003F3E0D"/>
    <w:rsid w:val="00400F3E"/>
    <w:rsid w:val="00416264"/>
    <w:rsid w:val="00452389"/>
    <w:rsid w:val="00475E64"/>
    <w:rsid w:val="00476175"/>
    <w:rsid w:val="00482444"/>
    <w:rsid w:val="00485CB2"/>
    <w:rsid w:val="004B2806"/>
    <w:rsid w:val="004C2F1B"/>
    <w:rsid w:val="004C705F"/>
    <w:rsid w:val="004D5DA3"/>
    <w:rsid w:val="004F6DAE"/>
    <w:rsid w:val="005011E0"/>
    <w:rsid w:val="00503C1B"/>
    <w:rsid w:val="00506B11"/>
    <w:rsid w:val="00521119"/>
    <w:rsid w:val="00523655"/>
    <w:rsid w:val="00537422"/>
    <w:rsid w:val="00541FB1"/>
    <w:rsid w:val="005542F1"/>
    <w:rsid w:val="00562C51"/>
    <w:rsid w:val="00562EE8"/>
    <w:rsid w:val="00591512"/>
    <w:rsid w:val="005B1DC4"/>
    <w:rsid w:val="005F5B76"/>
    <w:rsid w:val="00606B01"/>
    <w:rsid w:val="00622412"/>
    <w:rsid w:val="006225A6"/>
    <w:rsid w:val="006260AD"/>
    <w:rsid w:val="00646138"/>
    <w:rsid w:val="00662967"/>
    <w:rsid w:val="006700C6"/>
    <w:rsid w:val="00681071"/>
    <w:rsid w:val="006843F3"/>
    <w:rsid w:val="006A3A7F"/>
    <w:rsid w:val="006A6969"/>
    <w:rsid w:val="006B25D9"/>
    <w:rsid w:val="006D3C01"/>
    <w:rsid w:val="006F328F"/>
    <w:rsid w:val="0071504B"/>
    <w:rsid w:val="00724ABC"/>
    <w:rsid w:val="00732FE2"/>
    <w:rsid w:val="00736E99"/>
    <w:rsid w:val="007434E8"/>
    <w:rsid w:val="007524DA"/>
    <w:rsid w:val="007550A3"/>
    <w:rsid w:val="007709BA"/>
    <w:rsid w:val="00777092"/>
    <w:rsid w:val="007871DC"/>
    <w:rsid w:val="00790A98"/>
    <w:rsid w:val="00791BA6"/>
    <w:rsid w:val="00794996"/>
    <w:rsid w:val="00794EAB"/>
    <w:rsid w:val="007B3383"/>
    <w:rsid w:val="007C32E7"/>
    <w:rsid w:val="007E72ED"/>
    <w:rsid w:val="007F767A"/>
    <w:rsid w:val="008001B1"/>
    <w:rsid w:val="00803B1C"/>
    <w:rsid w:val="00806C8E"/>
    <w:rsid w:val="00810B5E"/>
    <w:rsid w:val="0083021E"/>
    <w:rsid w:val="00833F1B"/>
    <w:rsid w:val="008340FF"/>
    <w:rsid w:val="0084462C"/>
    <w:rsid w:val="00861B6A"/>
    <w:rsid w:val="00884516"/>
    <w:rsid w:val="0088719E"/>
    <w:rsid w:val="00896271"/>
    <w:rsid w:val="008A63A9"/>
    <w:rsid w:val="008D3A88"/>
    <w:rsid w:val="008F762B"/>
    <w:rsid w:val="009135F2"/>
    <w:rsid w:val="00927E9E"/>
    <w:rsid w:val="00927ECE"/>
    <w:rsid w:val="00937137"/>
    <w:rsid w:val="009415A4"/>
    <w:rsid w:val="009439FA"/>
    <w:rsid w:val="00963B03"/>
    <w:rsid w:val="00986FFE"/>
    <w:rsid w:val="009A23DE"/>
    <w:rsid w:val="009B2C90"/>
    <w:rsid w:val="009D094D"/>
    <w:rsid w:val="009F1F4C"/>
    <w:rsid w:val="00A00815"/>
    <w:rsid w:val="00A1173F"/>
    <w:rsid w:val="00A21326"/>
    <w:rsid w:val="00A226D3"/>
    <w:rsid w:val="00A33FD6"/>
    <w:rsid w:val="00A46FD8"/>
    <w:rsid w:val="00A521F6"/>
    <w:rsid w:val="00A5785A"/>
    <w:rsid w:val="00A77414"/>
    <w:rsid w:val="00A8594A"/>
    <w:rsid w:val="00A92339"/>
    <w:rsid w:val="00AB0658"/>
    <w:rsid w:val="00AD3962"/>
    <w:rsid w:val="00AD7CC0"/>
    <w:rsid w:val="00AF1582"/>
    <w:rsid w:val="00B0117D"/>
    <w:rsid w:val="00B0245A"/>
    <w:rsid w:val="00B300CF"/>
    <w:rsid w:val="00B37865"/>
    <w:rsid w:val="00B43272"/>
    <w:rsid w:val="00B619D2"/>
    <w:rsid w:val="00B662BC"/>
    <w:rsid w:val="00B7316F"/>
    <w:rsid w:val="00B74896"/>
    <w:rsid w:val="00B74DF1"/>
    <w:rsid w:val="00B82FE3"/>
    <w:rsid w:val="00B90F0D"/>
    <w:rsid w:val="00B9714D"/>
    <w:rsid w:val="00BD7ED5"/>
    <w:rsid w:val="00BE295A"/>
    <w:rsid w:val="00BE5A08"/>
    <w:rsid w:val="00BF4352"/>
    <w:rsid w:val="00C146C7"/>
    <w:rsid w:val="00C23D09"/>
    <w:rsid w:val="00C32B9F"/>
    <w:rsid w:val="00C40E72"/>
    <w:rsid w:val="00C566E5"/>
    <w:rsid w:val="00C622DC"/>
    <w:rsid w:val="00C851C5"/>
    <w:rsid w:val="00C95269"/>
    <w:rsid w:val="00C971BF"/>
    <w:rsid w:val="00CB1733"/>
    <w:rsid w:val="00CB5C7F"/>
    <w:rsid w:val="00CB5DF4"/>
    <w:rsid w:val="00CF119C"/>
    <w:rsid w:val="00CF17A0"/>
    <w:rsid w:val="00D2226A"/>
    <w:rsid w:val="00D476D8"/>
    <w:rsid w:val="00D47807"/>
    <w:rsid w:val="00D5398D"/>
    <w:rsid w:val="00D6555B"/>
    <w:rsid w:val="00D80B2A"/>
    <w:rsid w:val="00D8220A"/>
    <w:rsid w:val="00D851EB"/>
    <w:rsid w:val="00D93975"/>
    <w:rsid w:val="00DB18B0"/>
    <w:rsid w:val="00DF77B8"/>
    <w:rsid w:val="00E00AE9"/>
    <w:rsid w:val="00E45E5F"/>
    <w:rsid w:val="00E678F3"/>
    <w:rsid w:val="00E743E6"/>
    <w:rsid w:val="00E85754"/>
    <w:rsid w:val="00E96537"/>
    <w:rsid w:val="00EA76AA"/>
    <w:rsid w:val="00ED3E7E"/>
    <w:rsid w:val="00ED57DC"/>
    <w:rsid w:val="00EE5E1A"/>
    <w:rsid w:val="00EF0519"/>
    <w:rsid w:val="00EF146D"/>
    <w:rsid w:val="00EF5215"/>
    <w:rsid w:val="00F10511"/>
    <w:rsid w:val="00F1216C"/>
    <w:rsid w:val="00F3247C"/>
    <w:rsid w:val="00F45E49"/>
    <w:rsid w:val="00F47AE7"/>
    <w:rsid w:val="00F5021E"/>
    <w:rsid w:val="00F61994"/>
    <w:rsid w:val="00F81090"/>
    <w:rsid w:val="00F823E3"/>
    <w:rsid w:val="00F84B85"/>
    <w:rsid w:val="00F84D90"/>
    <w:rsid w:val="00F86FB3"/>
    <w:rsid w:val="00FA67A1"/>
    <w:rsid w:val="00FD0283"/>
    <w:rsid w:val="00FD1A1F"/>
    <w:rsid w:val="00FF03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39792"/>
  <w15:docId w15:val="{EDCFDE0A-E563-44DF-9383-A1F9D8A72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line="240" w:lineRule="atLeast"/>
      <w:ind w:firstLine="227"/>
      <w:jc w:val="both"/>
    </w:pPr>
    <w:rPr>
      <w:rFonts w:ascii="Arial" w:hAnsi="Arial"/>
    </w:rPr>
  </w:style>
  <w:style w:type="paragraph" w:styleId="Titolo1">
    <w:name w:val="heading 1"/>
    <w:basedOn w:val="Normale"/>
    <w:next w:val="Titolo2"/>
    <w:link w:val="Titolo1Carattere"/>
    <w:qFormat/>
    <w:rsid w:val="00646138"/>
    <w:pPr>
      <w:keepNext/>
      <w:keepLines/>
      <w:tabs>
        <w:tab w:val="left" w:pos="851"/>
      </w:tabs>
      <w:spacing w:after="1680"/>
      <w:ind w:left="851" w:hanging="851"/>
      <w:jc w:val="left"/>
      <w:outlineLvl w:val="0"/>
    </w:pPr>
    <w:rPr>
      <w:b/>
      <w:color w:val="800000"/>
      <w:sz w:val="32"/>
    </w:rPr>
  </w:style>
  <w:style w:type="paragraph" w:styleId="Titolo2">
    <w:name w:val="heading 2"/>
    <w:basedOn w:val="Normale"/>
    <w:next w:val="Normale"/>
    <w:link w:val="Titolo2Carattere"/>
    <w:qFormat/>
    <w:rsid w:val="008F762B"/>
    <w:pPr>
      <w:keepNext/>
      <w:keepLines/>
      <w:tabs>
        <w:tab w:val="left" w:pos="737"/>
      </w:tabs>
      <w:spacing w:before="480" w:after="240"/>
      <w:ind w:left="737" w:hanging="737"/>
      <w:jc w:val="left"/>
      <w:outlineLvl w:val="1"/>
    </w:pPr>
    <w:rPr>
      <w:b/>
      <w:color w:val="800000"/>
    </w:rPr>
  </w:style>
  <w:style w:type="paragraph" w:styleId="Titolo3">
    <w:name w:val="heading 3"/>
    <w:basedOn w:val="Titolo2"/>
    <w:next w:val="Normale"/>
    <w:qFormat/>
    <w:rsid w:val="00F61994"/>
    <w:pPr>
      <w:tabs>
        <w:tab w:val="clear" w:pos="737"/>
        <w:tab w:val="left" w:pos="851"/>
      </w:tabs>
      <w:ind w:left="851" w:hanging="851"/>
      <w:outlineLvl w:val="2"/>
    </w:pPr>
    <w:rPr>
      <w:b w:val="0"/>
      <w:i/>
    </w:rPr>
  </w:style>
  <w:style w:type="paragraph" w:styleId="Titolo4">
    <w:name w:val="heading 4"/>
    <w:basedOn w:val="Titolo3"/>
    <w:next w:val="Normale"/>
    <w:link w:val="Titolo4Carattere"/>
    <w:qFormat/>
    <w:rsid w:val="00475E64"/>
    <w:pPr>
      <w:tabs>
        <w:tab w:val="clear" w:pos="851"/>
        <w:tab w:val="left" w:pos="1021"/>
      </w:tabs>
      <w:spacing w:before="240" w:after="0"/>
      <w:ind w:left="1021" w:hanging="1021"/>
      <w:outlineLvl w:val="3"/>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pPr>
      <w:spacing w:before="60" w:line="200" w:lineRule="atLeast"/>
    </w:pPr>
    <w:rPr>
      <w:sz w:val="16"/>
    </w:rPr>
  </w:style>
  <w:style w:type="paragraph" w:styleId="Rientronormale">
    <w:name w:val="Normal Indent"/>
    <w:basedOn w:val="Normale"/>
    <w:pPr>
      <w:ind w:left="567" w:hanging="340"/>
    </w:pPr>
  </w:style>
  <w:style w:type="paragraph" w:customStyle="1" w:styleId="Figure">
    <w:name w:val="Figure"/>
    <w:basedOn w:val="Normale"/>
    <w:next w:val="Normale"/>
    <w:rsid w:val="00521119"/>
    <w:pPr>
      <w:keepLines/>
      <w:spacing w:line="240" w:lineRule="auto"/>
      <w:ind w:firstLine="0"/>
      <w:jc w:val="center"/>
    </w:pPr>
    <w:rPr>
      <w:sz w:val="16"/>
    </w:rPr>
  </w:style>
  <w:style w:type="paragraph" w:customStyle="1" w:styleId="FigTitolo">
    <w:name w:val="Fig Titolo"/>
    <w:basedOn w:val="TabTitolo"/>
    <w:rsid w:val="00537422"/>
    <w:pPr>
      <w:spacing w:after="0"/>
    </w:pPr>
  </w:style>
  <w:style w:type="paragraph" w:styleId="Intestazione">
    <w:name w:val="header"/>
    <w:basedOn w:val="Normale"/>
    <w:link w:val="IntestazioneCarattere"/>
    <w:rsid w:val="00B662BC"/>
    <w:pPr>
      <w:tabs>
        <w:tab w:val="center" w:pos="4819"/>
        <w:tab w:val="right" w:pos="9638"/>
      </w:tabs>
      <w:ind w:firstLine="0"/>
    </w:pPr>
  </w:style>
  <w:style w:type="paragraph" w:customStyle="1" w:styleId="TabSeparazioni">
    <w:name w:val="Tab Separazioni"/>
    <w:basedOn w:val="Normale"/>
    <w:rsid w:val="00ED3E7E"/>
    <w:pPr>
      <w:keepNext/>
      <w:keepLines/>
      <w:spacing w:before="80" w:line="240" w:lineRule="auto"/>
      <w:ind w:firstLine="0"/>
      <w:jc w:val="left"/>
    </w:pPr>
    <w:rPr>
      <w:b/>
      <w:sz w:val="16"/>
    </w:rPr>
  </w:style>
  <w:style w:type="paragraph" w:customStyle="1" w:styleId="TabNumInferiori">
    <w:name w:val="Tab Num Inferiori"/>
    <w:basedOn w:val="TabNumeri"/>
    <w:rsid w:val="00BF4352"/>
    <w:pPr>
      <w:spacing w:after="40"/>
    </w:pPr>
  </w:style>
  <w:style w:type="paragraph" w:customStyle="1" w:styleId="TabNumeri">
    <w:name w:val="Tab Numeri"/>
    <w:basedOn w:val="Normale"/>
    <w:rsid w:val="00B300CF"/>
    <w:pPr>
      <w:keepLines/>
      <w:spacing w:line="240" w:lineRule="auto"/>
      <w:ind w:firstLine="0"/>
      <w:jc w:val="right"/>
    </w:pPr>
    <w:rPr>
      <w:sz w:val="16"/>
    </w:rPr>
  </w:style>
  <w:style w:type="paragraph" w:customStyle="1" w:styleId="TabTitolo">
    <w:name w:val="Tab Titolo"/>
    <w:basedOn w:val="Normale"/>
    <w:rsid w:val="00A226D3"/>
    <w:pPr>
      <w:keepNext/>
      <w:keepLines/>
      <w:tabs>
        <w:tab w:val="left" w:pos="907"/>
      </w:tabs>
      <w:spacing w:after="80" w:line="240" w:lineRule="auto"/>
      <w:ind w:left="907" w:hanging="907"/>
      <w:jc w:val="left"/>
    </w:pPr>
    <w:rPr>
      <w:i/>
      <w:color w:val="800000"/>
      <w:sz w:val="16"/>
    </w:rPr>
  </w:style>
  <w:style w:type="paragraph" w:customStyle="1" w:styleId="TabNoteSuperiori">
    <w:name w:val="Tab Note Superiori"/>
    <w:basedOn w:val="Normale"/>
    <w:rsid w:val="00B300CF"/>
    <w:pPr>
      <w:keepLines/>
      <w:spacing w:before="60" w:line="240" w:lineRule="auto"/>
      <w:ind w:firstLine="0"/>
    </w:pPr>
    <w:rPr>
      <w:sz w:val="16"/>
    </w:rPr>
  </w:style>
  <w:style w:type="paragraph" w:customStyle="1" w:styleId="TabNoteInferiori">
    <w:name w:val="Tab Note Inferiori"/>
    <w:basedOn w:val="TabNoteSuperiori"/>
    <w:pPr>
      <w:spacing w:before="0"/>
    </w:pPr>
  </w:style>
  <w:style w:type="paragraph" w:customStyle="1" w:styleId="TabIntestazioni">
    <w:name w:val="Tab Intestazioni"/>
    <w:basedOn w:val="Normale"/>
    <w:rsid w:val="00B300CF"/>
    <w:pPr>
      <w:keepNext/>
      <w:keepLines/>
      <w:spacing w:before="80" w:after="80" w:line="240" w:lineRule="auto"/>
      <w:ind w:firstLine="0"/>
      <w:jc w:val="center"/>
    </w:pPr>
    <w:rPr>
      <w:i/>
      <w:sz w:val="16"/>
    </w:rPr>
  </w:style>
  <w:style w:type="paragraph" w:customStyle="1" w:styleId="TabIntestaSup">
    <w:name w:val="Tab Intesta Sup"/>
    <w:basedOn w:val="TabIntestazioni"/>
    <w:pPr>
      <w:spacing w:before="60" w:after="20"/>
    </w:pPr>
  </w:style>
  <w:style w:type="paragraph" w:customStyle="1" w:styleId="TabIntestaSupBordo">
    <w:name w:val="Tab Intesta Sup Bordo"/>
    <w:basedOn w:val="TabIntestaSup"/>
    <w:pPr>
      <w:pBdr>
        <w:bottom w:val="single" w:sz="4" w:space="1" w:color="auto"/>
      </w:pBdr>
      <w:ind w:left="57" w:right="57"/>
    </w:pPr>
  </w:style>
  <w:style w:type="paragraph" w:customStyle="1" w:styleId="TabIntestaInf">
    <w:name w:val="Tab Intesta Inf"/>
    <w:basedOn w:val="TabIntestazioni"/>
    <w:pPr>
      <w:spacing w:before="0" w:after="60"/>
    </w:pPr>
  </w:style>
  <w:style w:type="paragraph" w:customStyle="1" w:styleId="TabIntestazCentro">
    <w:name w:val="Tab Intestaz Centro"/>
    <w:basedOn w:val="TabIntestazioni"/>
    <w:pPr>
      <w:spacing w:before="0" w:after="20"/>
    </w:pPr>
  </w:style>
  <w:style w:type="paragraph" w:customStyle="1" w:styleId="TabIntestaCentroBordo">
    <w:name w:val="Tab Intesta Centro Bordo"/>
    <w:basedOn w:val="TabIntestazCentro"/>
    <w:pPr>
      <w:pBdr>
        <w:bottom w:val="single" w:sz="4" w:space="1" w:color="auto"/>
      </w:pBdr>
      <w:ind w:left="57" w:right="57"/>
    </w:pPr>
  </w:style>
  <w:style w:type="paragraph" w:customStyle="1" w:styleId="TabEtichette">
    <w:name w:val="Tab Etichette"/>
    <w:basedOn w:val="Normale"/>
    <w:rsid w:val="00B300CF"/>
    <w:pPr>
      <w:keepLines/>
      <w:spacing w:line="240" w:lineRule="auto"/>
      <w:ind w:firstLine="0"/>
      <w:jc w:val="left"/>
    </w:pPr>
    <w:rPr>
      <w:sz w:val="16"/>
    </w:rPr>
  </w:style>
  <w:style w:type="paragraph" w:customStyle="1" w:styleId="TabNumSuperiori">
    <w:name w:val="Tab Num Superiori"/>
    <w:basedOn w:val="TabNumeri"/>
    <w:rsid w:val="00BF4352"/>
    <w:pPr>
      <w:spacing w:before="40"/>
    </w:pPr>
  </w:style>
  <w:style w:type="paragraph" w:customStyle="1" w:styleId="Fineoggettoword">
    <w:name w:val="Fine oggetto word"/>
    <w:basedOn w:val="TabNoteInferiori"/>
    <w:rPr>
      <w:i/>
      <w:sz w:val="12"/>
    </w:rPr>
  </w:style>
  <w:style w:type="character" w:styleId="Numeropagina">
    <w:name w:val="page number"/>
    <w:rPr>
      <w:rFonts w:ascii="Arial" w:hAnsi="Arial"/>
      <w:sz w:val="20"/>
    </w:rPr>
  </w:style>
  <w:style w:type="paragraph" w:customStyle="1" w:styleId="Intestazionecorsivo">
    <w:name w:val="Intestazione corsivo"/>
    <w:basedOn w:val="Normale"/>
    <w:rsid w:val="00521119"/>
    <w:pPr>
      <w:ind w:left="357" w:right="357" w:firstLine="0"/>
      <w:jc w:val="center"/>
    </w:pPr>
    <w:rPr>
      <w:i/>
      <w:noProof/>
      <w:sz w:val="16"/>
    </w:rPr>
  </w:style>
  <w:style w:type="paragraph" w:customStyle="1" w:styleId="Pidipaginacorsivo">
    <w:name w:val="Piè di pagina corsivo"/>
    <w:basedOn w:val="Normale"/>
    <w:rsid w:val="00521119"/>
    <w:pPr>
      <w:ind w:firstLine="0"/>
      <w:jc w:val="center"/>
    </w:pPr>
    <w:rPr>
      <w:i/>
      <w:sz w:val="16"/>
    </w:rPr>
  </w:style>
  <w:style w:type="paragraph" w:customStyle="1" w:styleId="TabEtichSuperiori">
    <w:name w:val="Tab Etich Superiori"/>
    <w:basedOn w:val="TabEtichette"/>
    <w:rsid w:val="00BF4352"/>
    <w:pPr>
      <w:spacing w:before="40"/>
    </w:pPr>
  </w:style>
  <w:style w:type="paragraph" w:customStyle="1" w:styleId="TabEtichInferiori">
    <w:name w:val="Tab Etich Inferiori"/>
    <w:basedOn w:val="TabEtichette"/>
    <w:rsid w:val="00BF4352"/>
    <w:pPr>
      <w:spacing w:after="40"/>
    </w:pPr>
  </w:style>
  <w:style w:type="paragraph" w:customStyle="1" w:styleId="TitoloParte">
    <w:name w:val="Titolo Parte"/>
    <w:basedOn w:val="Titolo1"/>
    <w:rsid w:val="007C32E7"/>
    <w:rPr>
      <w:caps/>
      <w:sz w:val="36"/>
    </w:rPr>
  </w:style>
  <w:style w:type="character" w:styleId="Rimandonotaapidipagina">
    <w:name w:val="footnote reference"/>
    <w:uiPriority w:val="99"/>
    <w:rsid w:val="00736E99"/>
    <w:rPr>
      <w:vertAlign w:val="superscript"/>
    </w:rPr>
  </w:style>
  <w:style w:type="paragraph" w:styleId="Sommario1">
    <w:name w:val="toc 1"/>
    <w:basedOn w:val="Normale"/>
    <w:next w:val="Normale"/>
    <w:autoRedefine/>
    <w:semiHidden/>
    <w:rsid w:val="007C32E7"/>
  </w:style>
  <w:style w:type="paragraph" w:customStyle="1" w:styleId="autori">
    <w:name w:val="autori"/>
    <w:basedOn w:val="Normale"/>
    <w:rsid w:val="009135F2"/>
    <w:pPr>
      <w:ind w:left="57" w:right="57" w:firstLine="0"/>
      <w:jc w:val="left"/>
    </w:pPr>
    <w:rPr>
      <w:color w:val="800000"/>
      <w:sz w:val="18"/>
    </w:rPr>
  </w:style>
  <w:style w:type="paragraph" w:customStyle="1" w:styleId="Introduzionenormalecorsivo">
    <w:name w:val="Introduzione normale corsivo"/>
    <w:basedOn w:val="Normale"/>
    <w:qFormat/>
    <w:rsid w:val="00B37865"/>
    <w:pPr>
      <w:spacing w:line="360" w:lineRule="auto"/>
    </w:pPr>
    <w:rPr>
      <w:rFonts w:cs="Arial"/>
      <w:i/>
    </w:rPr>
  </w:style>
  <w:style w:type="paragraph" w:styleId="Pidipagina">
    <w:name w:val="footer"/>
    <w:basedOn w:val="Normale"/>
    <w:link w:val="PidipaginaCarattere"/>
    <w:rsid w:val="00A00815"/>
    <w:pPr>
      <w:tabs>
        <w:tab w:val="center" w:pos="4819"/>
        <w:tab w:val="right" w:pos="9638"/>
      </w:tabs>
      <w:ind w:firstLine="0"/>
      <w:jc w:val="center"/>
    </w:pPr>
    <w:rPr>
      <w:caps/>
    </w:rPr>
  </w:style>
  <w:style w:type="character" w:customStyle="1" w:styleId="PidipaginaCarattere">
    <w:name w:val="Piè di pagina Carattere"/>
    <w:link w:val="Pidipagina"/>
    <w:rsid w:val="00A00815"/>
    <w:rPr>
      <w:rFonts w:ascii="Arial" w:hAnsi="Arial"/>
      <w:caps/>
    </w:rPr>
  </w:style>
  <w:style w:type="paragraph" w:styleId="Testofumetto">
    <w:name w:val="Balloon Text"/>
    <w:basedOn w:val="Normale"/>
    <w:link w:val="TestofumettoCarattere"/>
    <w:rsid w:val="00CF17A0"/>
    <w:pPr>
      <w:spacing w:line="240" w:lineRule="auto"/>
    </w:pPr>
    <w:rPr>
      <w:rFonts w:ascii="Tahoma" w:hAnsi="Tahoma" w:cs="Tahoma"/>
      <w:sz w:val="16"/>
      <w:szCs w:val="16"/>
    </w:rPr>
  </w:style>
  <w:style w:type="character" w:customStyle="1" w:styleId="TestofumettoCarattere">
    <w:name w:val="Testo fumetto Carattere"/>
    <w:link w:val="Testofumetto"/>
    <w:rsid w:val="00CF17A0"/>
    <w:rPr>
      <w:rFonts w:ascii="Tahoma" w:hAnsi="Tahoma" w:cs="Tahoma"/>
      <w:sz w:val="16"/>
      <w:szCs w:val="16"/>
    </w:rPr>
  </w:style>
  <w:style w:type="character" w:customStyle="1" w:styleId="IntestazioneCarattere">
    <w:name w:val="Intestazione Carattere"/>
    <w:link w:val="Intestazione"/>
    <w:rsid w:val="00B662BC"/>
    <w:rPr>
      <w:rFonts w:ascii="Arial" w:hAnsi="Arial"/>
    </w:rPr>
  </w:style>
  <w:style w:type="paragraph" w:customStyle="1" w:styleId="Stileapprofnormale10ptGrassettoRossoscuroSinistro0">
    <w:name w:val="Stile approf_normale + 10 pt Grassetto Rosso scuro Sinistro:  0 ..."/>
    <w:basedOn w:val="Normale"/>
    <w:rsid w:val="002A2AE9"/>
    <w:pPr>
      <w:ind w:left="170" w:right="170" w:firstLine="0"/>
    </w:pPr>
    <w:rPr>
      <w:b/>
      <w:bCs/>
      <w:color w:val="800000"/>
    </w:rPr>
  </w:style>
  <w:style w:type="paragraph" w:styleId="Rientrocorpodeltesto">
    <w:name w:val="Body Text Indent"/>
    <w:basedOn w:val="Normale"/>
    <w:link w:val="RientrocorpodeltestoCarattere"/>
    <w:rsid w:val="00A33FD6"/>
    <w:rPr>
      <w:color w:val="FF00FF"/>
    </w:rPr>
  </w:style>
  <w:style w:type="character" w:customStyle="1" w:styleId="RientrocorpodeltestoCarattere">
    <w:name w:val="Rientro corpo del testo Carattere"/>
    <w:basedOn w:val="Carpredefinitoparagrafo"/>
    <w:link w:val="Rientrocorpodeltesto"/>
    <w:rsid w:val="00A33FD6"/>
    <w:rPr>
      <w:rFonts w:ascii="Arial" w:hAnsi="Arial"/>
      <w:color w:val="FF00FF"/>
    </w:rPr>
  </w:style>
  <w:style w:type="paragraph" w:styleId="Rientrocorpodeltesto3">
    <w:name w:val="Body Text Indent 3"/>
    <w:basedOn w:val="Normale"/>
    <w:link w:val="Rientrocorpodeltesto3Carattere"/>
    <w:rsid w:val="00A33FD6"/>
    <w:rPr>
      <w:color w:val="000000"/>
    </w:rPr>
  </w:style>
  <w:style w:type="character" w:customStyle="1" w:styleId="Rientrocorpodeltesto3Carattere">
    <w:name w:val="Rientro corpo del testo 3 Carattere"/>
    <w:basedOn w:val="Carpredefinitoparagrafo"/>
    <w:link w:val="Rientrocorpodeltesto3"/>
    <w:rsid w:val="00A33FD6"/>
    <w:rPr>
      <w:rFonts w:ascii="Arial" w:hAnsi="Arial"/>
      <w:color w:val="000000"/>
    </w:rPr>
  </w:style>
  <w:style w:type="character" w:customStyle="1" w:styleId="Titolo1Carattere">
    <w:name w:val="Titolo 1 Carattere"/>
    <w:basedOn w:val="Carpredefinitoparagrafo"/>
    <w:link w:val="Titolo1"/>
    <w:rsid w:val="00A33FD6"/>
    <w:rPr>
      <w:rFonts w:ascii="Arial" w:hAnsi="Arial"/>
      <w:b/>
      <w:color w:val="800000"/>
      <w:sz w:val="32"/>
    </w:rPr>
  </w:style>
  <w:style w:type="paragraph" w:styleId="Rientrocorpodeltesto2">
    <w:name w:val="Body Text Indent 2"/>
    <w:basedOn w:val="Normale"/>
    <w:link w:val="Rientrocorpodeltesto2Carattere"/>
    <w:rsid w:val="00562C51"/>
    <w:pPr>
      <w:spacing w:after="120" w:line="480" w:lineRule="auto"/>
      <w:ind w:left="283"/>
    </w:pPr>
  </w:style>
  <w:style w:type="character" w:customStyle="1" w:styleId="Rientrocorpodeltesto2Carattere">
    <w:name w:val="Rientro corpo del testo 2 Carattere"/>
    <w:basedOn w:val="Carpredefinitoparagrafo"/>
    <w:link w:val="Rientrocorpodeltesto2"/>
    <w:rsid w:val="00562C51"/>
    <w:rPr>
      <w:rFonts w:ascii="Arial" w:hAnsi="Arial"/>
    </w:rPr>
  </w:style>
  <w:style w:type="character" w:customStyle="1" w:styleId="Titolo2Carattere">
    <w:name w:val="Titolo 2 Carattere"/>
    <w:basedOn w:val="Carpredefinitoparagrafo"/>
    <w:link w:val="Titolo2"/>
    <w:rsid w:val="00E45E5F"/>
    <w:rPr>
      <w:rFonts w:ascii="Arial" w:hAnsi="Arial"/>
      <w:b/>
      <w:color w:val="800000"/>
    </w:rPr>
  </w:style>
  <w:style w:type="character" w:customStyle="1" w:styleId="TestonotaapidipaginaCarattere">
    <w:name w:val="Testo nota a piè di pagina Carattere"/>
    <w:link w:val="Testonotaapidipagina"/>
    <w:uiPriority w:val="99"/>
    <w:rsid w:val="0016238A"/>
    <w:rPr>
      <w:rFonts w:ascii="Arial" w:hAnsi="Arial"/>
      <w:sz w:val="16"/>
    </w:rPr>
  </w:style>
  <w:style w:type="character" w:customStyle="1" w:styleId="mw-headline">
    <w:name w:val="mw-headline"/>
    <w:rsid w:val="0016238A"/>
  </w:style>
  <w:style w:type="table" w:styleId="Grigliatabella">
    <w:name w:val="Table Grid"/>
    <w:basedOn w:val="Tabellanormale"/>
    <w:uiPriority w:val="59"/>
    <w:rsid w:val="00806C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rsid w:val="007F767A"/>
    <w:rPr>
      <w:rFonts w:ascii="Arial" w:hAnsi="Arial"/>
      <w:i/>
      <w:color w:val="800000"/>
    </w:rPr>
  </w:style>
  <w:style w:type="character" w:customStyle="1" w:styleId="nascostoCarattere">
    <w:name w:val="nascosto Carattere"/>
    <w:basedOn w:val="Carpredefinitoparagrafo"/>
    <w:rsid w:val="000D74A5"/>
    <w:rPr>
      <w:rFonts w:ascii="Arial" w:hAnsi="Arial"/>
      <w:vanish/>
      <w:color w:val="FF00FF"/>
      <w:lang w:val="it-IT" w:eastAsia="it-IT" w:bidi="ar-SA"/>
    </w:rPr>
  </w:style>
  <w:style w:type="paragraph" w:customStyle="1" w:styleId="Default">
    <w:name w:val="Default"/>
    <w:rsid w:val="007524DA"/>
    <w:pPr>
      <w:autoSpaceDE w:val="0"/>
      <w:autoSpaceDN w:val="0"/>
      <w:adjustRightInd w:val="0"/>
    </w:pPr>
    <w:rPr>
      <w:rFonts w:ascii="Arial Rounded MT Bold" w:eastAsiaTheme="minorHAnsi" w:hAnsi="Arial Rounded MT Bold" w:cs="Arial Rounded MT Bold"/>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650127">
      <w:bodyDiv w:val="1"/>
      <w:marLeft w:val="0"/>
      <w:marRight w:val="0"/>
      <w:marTop w:val="0"/>
      <w:marBottom w:val="0"/>
      <w:divBdr>
        <w:top w:val="none" w:sz="0" w:space="0" w:color="auto"/>
        <w:left w:val="none" w:sz="0" w:space="0" w:color="auto"/>
        <w:bottom w:val="none" w:sz="0" w:space="0" w:color="auto"/>
        <w:right w:val="none" w:sz="0" w:space="0" w:color="auto"/>
      </w:divBdr>
    </w:div>
    <w:div w:id="735322003">
      <w:bodyDiv w:val="1"/>
      <w:marLeft w:val="0"/>
      <w:marRight w:val="0"/>
      <w:marTop w:val="0"/>
      <w:marBottom w:val="0"/>
      <w:divBdr>
        <w:top w:val="none" w:sz="0" w:space="0" w:color="auto"/>
        <w:left w:val="none" w:sz="0" w:space="0" w:color="auto"/>
        <w:bottom w:val="none" w:sz="0" w:space="0" w:color="auto"/>
        <w:right w:val="none" w:sz="0" w:space="0" w:color="auto"/>
      </w:divBdr>
    </w:div>
    <w:div w:id="1178697586">
      <w:bodyDiv w:val="1"/>
      <w:marLeft w:val="0"/>
      <w:marRight w:val="0"/>
      <w:marTop w:val="0"/>
      <w:marBottom w:val="0"/>
      <w:divBdr>
        <w:top w:val="none" w:sz="0" w:space="0" w:color="auto"/>
        <w:left w:val="none" w:sz="0" w:space="0" w:color="auto"/>
        <w:bottom w:val="none" w:sz="0" w:space="0" w:color="auto"/>
        <w:right w:val="none" w:sz="0" w:space="0" w:color="auto"/>
      </w:divBdr>
    </w:div>
    <w:div w:id="174688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z_sistema\m_modelli\rap_eco_reg.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00195-C654-4FC3-9EAA-293B19999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rap_eco_reg.dot</Template>
  <TotalTime>1</TotalTime>
  <Pages>4</Pages>
  <Words>1461</Words>
  <Characters>8328</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Unioncamere Emilia Romagna</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Guaitoli</dc:creator>
  <cp:lastModifiedBy>Pazzi Ivanna</cp:lastModifiedBy>
  <cp:revision>2</cp:revision>
  <cp:lastPrinted>2019-12-13T08:25:00Z</cp:lastPrinted>
  <dcterms:created xsi:type="dcterms:W3CDTF">2019-12-20T17:30:00Z</dcterms:created>
  <dcterms:modified xsi:type="dcterms:W3CDTF">2019-12-20T17:30:00Z</dcterms:modified>
</cp:coreProperties>
</file>